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EE41" w14:textId="77777777" w:rsidR="004D1987" w:rsidRDefault="00E5032D" w:rsidP="00E5032D">
      <w:pPr>
        <w:rPr>
          <w:b/>
          <w:color w:val="FFFFFF"/>
          <w:sz w:val="48"/>
          <w:szCs w:val="48"/>
        </w:rPr>
      </w:pPr>
      <w:r w:rsidRPr="00EF77BE">
        <w:rPr>
          <w:b/>
          <w:noProof/>
          <w:lang w:eastAsia="en-GB"/>
        </w:rPr>
        <w:drawing>
          <wp:anchor distT="0" distB="0" distL="114300" distR="114300" simplePos="0" relativeHeight="251658240" behindDoc="0" locked="0" layoutInCell="1" allowOverlap="1" wp14:anchorId="2EF21DB0" wp14:editId="1969C853">
            <wp:simplePos x="0" y="0"/>
            <wp:positionH relativeFrom="column">
              <wp:posOffset>3831375</wp:posOffset>
            </wp:positionH>
            <wp:positionV relativeFrom="paragraph">
              <wp:posOffset>-3450</wp:posOffset>
            </wp:positionV>
            <wp:extent cx="2223467" cy="733425"/>
            <wp:effectExtent l="0" t="0" r="0" b="0"/>
            <wp:wrapNone/>
            <wp:docPr id="6" name="Picture 2" descr="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ar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3467" cy="7334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D2A3A" w:rsidRPr="001D2A3A">
        <w:rPr>
          <w:rFonts w:cs="Arial"/>
          <w:b/>
          <w:color w:val="FFFFFF"/>
          <w:sz w:val="12"/>
          <w:szCs w:val="12"/>
        </w:rPr>
        <w:t>CC</w:t>
      </w:r>
      <w:r w:rsidR="001D2A3A">
        <w:rPr>
          <w:rFonts w:cs="Arial"/>
          <w:b/>
          <w:color w:val="FFFFFF"/>
          <w:sz w:val="12"/>
          <w:szCs w:val="12"/>
        </w:rPr>
        <w:t>emo</w:t>
      </w:r>
      <w:proofErr w:type="spellEnd"/>
    </w:p>
    <w:p w14:paraId="755BEF07" w14:textId="77777777" w:rsidR="001D2A3A" w:rsidRDefault="001D2A3A" w:rsidP="00E5032D">
      <w:pPr>
        <w:rPr>
          <w:rFonts w:eastAsia="Times New Roman" w:cs="Times New Roman"/>
          <w:sz w:val="32"/>
          <w:szCs w:val="32"/>
          <w:lang w:eastAsia="en-GB"/>
        </w:rPr>
      </w:pPr>
    </w:p>
    <w:p w14:paraId="62EDE151" w14:textId="77777777" w:rsidR="001D2A3A" w:rsidRDefault="001D2A3A" w:rsidP="001D2A3A">
      <w:pPr>
        <w:jc w:val="center"/>
        <w:rPr>
          <w:rFonts w:eastAsia="Times New Roman" w:cs="Times New Roman"/>
          <w:sz w:val="32"/>
          <w:szCs w:val="32"/>
          <w:lang w:eastAsia="en-GB"/>
        </w:rPr>
      </w:pPr>
    </w:p>
    <w:p w14:paraId="5AE9D157" w14:textId="77777777" w:rsidR="005D6BAB" w:rsidRDefault="005D6BAB" w:rsidP="005D6BAB">
      <w:pPr>
        <w:jc w:val="center"/>
        <w:rPr>
          <w:rFonts w:cs="Arial"/>
          <w:b/>
          <w:lang w:val="en"/>
        </w:rPr>
      </w:pPr>
    </w:p>
    <w:p w14:paraId="5710EC8B" w14:textId="77777777" w:rsidR="005D6BAB" w:rsidRDefault="005D6BAB" w:rsidP="005D6BAB">
      <w:pPr>
        <w:jc w:val="center"/>
        <w:rPr>
          <w:rFonts w:cs="Arial"/>
          <w:b/>
          <w:lang w:val="en"/>
        </w:rPr>
      </w:pPr>
    </w:p>
    <w:p w14:paraId="3F4F6697" w14:textId="77777777" w:rsidR="005D6BAB" w:rsidRDefault="005D6BAB" w:rsidP="005D6BAB">
      <w:pPr>
        <w:jc w:val="center"/>
        <w:rPr>
          <w:rFonts w:cs="Arial"/>
          <w:b/>
          <w:lang w:val="en"/>
        </w:rPr>
      </w:pPr>
    </w:p>
    <w:p w14:paraId="641F7D61" w14:textId="77777777" w:rsidR="005D6BAB" w:rsidRDefault="005D6BAB" w:rsidP="005D6BAB">
      <w:pPr>
        <w:jc w:val="center"/>
        <w:rPr>
          <w:rFonts w:cs="Arial"/>
          <w:b/>
          <w:lang w:val="en"/>
        </w:rPr>
      </w:pPr>
    </w:p>
    <w:p w14:paraId="2719D9DE" w14:textId="77777777" w:rsidR="005D6BAB" w:rsidRDefault="005D6BAB" w:rsidP="005D6BAB">
      <w:pPr>
        <w:jc w:val="center"/>
        <w:rPr>
          <w:rFonts w:cs="Arial"/>
          <w:b/>
          <w:bCs/>
        </w:rPr>
      </w:pPr>
    </w:p>
    <w:p w14:paraId="25C7D525" w14:textId="77777777" w:rsidR="005D6BAB" w:rsidRDefault="005D6BAB" w:rsidP="005D6BAB">
      <w:pPr>
        <w:jc w:val="center"/>
        <w:rPr>
          <w:rFonts w:cs="Arial"/>
          <w:b/>
          <w:bCs/>
        </w:rPr>
      </w:pPr>
    </w:p>
    <w:p w14:paraId="7E48A875" w14:textId="77777777" w:rsidR="005D6BAB" w:rsidRDefault="005D6BAB" w:rsidP="005D6BAB">
      <w:pPr>
        <w:jc w:val="center"/>
        <w:rPr>
          <w:rFonts w:cs="Arial"/>
          <w:b/>
          <w:bCs/>
        </w:rPr>
      </w:pPr>
    </w:p>
    <w:p w14:paraId="44737D4D" w14:textId="77777777" w:rsidR="005D6BAB" w:rsidRDefault="005D6BAB" w:rsidP="005D6BAB">
      <w:pPr>
        <w:jc w:val="center"/>
        <w:rPr>
          <w:rFonts w:cs="Arial"/>
          <w:b/>
          <w:bCs/>
        </w:rPr>
      </w:pPr>
    </w:p>
    <w:p w14:paraId="1D9AC2EC" w14:textId="77777777" w:rsidR="005D6BAB" w:rsidRPr="008F2FCC" w:rsidRDefault="005D6BAB" w:rsidP="00D02A57">
      <w:pPr>
        <w:jc w:val="center"/>
        <w:rPr>
          <w:rFonts w:cs="Arial"/>
          <w:b/>
          <w:bCs/>
          <w:sz w:val="40"/>
          <w:szCs w:val="40"/>
        </w:rPr>
      </w:pPr>
    </w:p>
    <w:p w14:paraId="1AB4CE7E" w14:textId="6D91E3FE" w:rsidR="006134E2" w:rsidRPr="008F2FCC" w:rsidRDefault="006134E2" w:rsidP="00D02A57">
      <w:pPr>
        <w:jc w:val="center"/>
        <w:rPr>
          <w:rFonts w:cs="Arial"/>
          <w:b/>
          <w:bCs/>
          <w:sz w:val="40"/>
          <w:szCs w:val="40"/>
        </w:rPr>
      </w:pPr>
      <w:r w:rsidRPr="008F2FCC">
        <w:rPr>
          <w:rFonts w:cs="Arial"/>
          <w:b/>
          <w:bCs/>
          <w:sz w:val="40"/>
          <w:szCs w:val="40"/>
        </w:rPr>
        <w:t>Anti Money Laundering, Proceeds of Crime and Terrorist Financing Policy</w:t>
      </w:r>
      <w:r w:rsidR="004E2E7B" w:rsidRPr="008F2FCC">
        <w:rPr>
          <w:rFonts w:cs="Arial"/>
          <w:b/>
          <w:bCs/>
          <w:sz w:val="40"/>
          <w:szCs w:val="40"/>
        </w:rPr>
        <w:t xml:space="preserve"> – Lincoln Community Lottery</w:t>
      </w:r>
    </w:p>
    <w:p w14:paraId="6076529E" w14:textId="77777777" w:rsidR="005D6BAB" w:rsidRDefault="005D6BAB" w:rsidP="005D6BAB">
      <w:pPr>
        <w:jc w:val="center"/>
        <w:rPr>
          <w:rFonts w:cs="Arial"/>
          <w:b/>
          <w:bCs/>
        </w:rPr>
      </w:pPr>
    </w:p>
    <w:p w14:paraId="364C60E6" w14:textId="77777777" w:rsidR="005D6BAB" w:rsidRDefault="005D6BAB" w:rsidP="005D6BAB">
      <w:pPr>
        <w:jc w:val="center"/>
        <w:rPr>
          <w:rFonts w:cs="Arial"/>
          <w:b/>
          <w:bCs/>
        </w:rPr>
      </w:pPr>
      <w:r>
        <w:rPr>
          <w:rFonts w:cs="Arial"/>
          <w:b/>
          <w:bCs/>
        </w:rPr>
        <w:br w:type="page"/>
      </w:r>
    </w:p>
    <w:p w14:paraId="24B9D1EB" w14:textId="77777777" w:rsidR="005D6BAB" w:rsidRPr="0054625C" w:rsidRDefault="005D6BAB" w:rsidP="00B17FFC">
      <w:pPr>
        <w:pStyle w:val="BodyText"/>
        <w:ind w:left="142"/>
        <w:rPr>
          <w:b/>
          <w:sz w:val="20"/>
        </w:rPr>
      </w:pPr>
      <w:r w:rsidRPr="0054625C">
        <w:rPr>
          <w:b/>
          <w:sz w:val="20"/>
        </w:rPr>
        <w:lastRenderedPageBreak/>
        <w:t>Document Control</w:t>
      </w:r>
    </w:p>
    <w:tbl>
      <w:tblPr>
        <w:tblW w:w="0" w:type="auto"/>
        <w:tblInd w:w="108" w:type="dxa"/>
        <w:tblLayout w:type="fixed"/>
        <w:tblCellMar>
          <w:top w:w="57" w:type="dxa"/>
          <w:bottom w:w="57" w:type="dxa"/>
        </w:tblCellMar>
        <w:tblLook w:val="0000" w:firstRow="0" w:lastRow="0" w:firstColumn="0" w:lastColumn="0" w:noHBand="0" w:noVBand="0"/>
      </w:tblPr>
      <w:tblGrid>
        <w:gridCol w:w="2760"/>
        <w:gridCol w:w="5975"/>
      </w:tblGrid>
      <w:tr w:rsidR="005D6BAB" w:rsidRPr="0054625C" w14:paraId="47EA677C" w14:textId="77777777" w:rsidTr="0011581E">
        <w:tc>
          <w:tcPr>
            <w:tcW w:w="2760" w:type="dxa"/>
            <w:tcBorders>
              <w:top w:val="single" w:sz="4" w:space="0" w:color="000000"/>
              <w:left w:val="single" w:sz="4" w:space="0" w:color="000000"/>
              <w:bottom w:val="single" w:sz="4" w:space="0" w:color="000000"/>
            </w:tcBorders>
            <w:shd w:val="clear" w:color="auto" w:fill="E0E0E0"/>
          </w:tcPr>
          <w:p w14:paraId="10C2009F" w14:textId="77777777" w:rsidR="005D6BAB" w:rsidRPr="0054625C" w:rsidRDefault="005D6BAB" w:rsidP="0011581E">
            <w:pPr>
              <w:tabs>
                <w:tab w:val="left" w:pos="2640"/>
              </w:tabs>
              <w:snapToGrid w:val="0"/>
              <w:spacing w:after="100"/>
              <w:rPr>
                <w:rFonts w:cs="Arial"/>
                <w:b/>
                <w:sz w:val="20"/>
                <w:szCs w:val="20"/>
              </w:rPr>
            </w:pPr>
            <w:r w:rsidRPr="0054625C">
              <w:rPr>
                <w:rFonts w:cs="Arial"/>
                <w:b/>
                <w:sz w:val="20"/>
                <w:szCs w:val="20"/>
              </w:rPr>
              <w:t>Organisation</w:t>
            </w:r>
          </w:p>
        </w:tc>
        <w:tc>
          <w:tcPr>
            <w:tcW w:w="5975" w:type="dxa"/>
            <w:tcBorders>
              <w:top w:val="single" w:sz="4" w:space="0" w:color="000000"/>
              <w:left w:val="single" w:sz="4" w:space="0" w:color="000000"/>
              <w:bottom w:val="single" w:sz="4" w:space="0" w:color="000000"/>
              <w:right w:val="single" w:sz="4" w:space="0" w:color="000000"/>
            </w:tcBorders>
          </w:tcPr>
          <w:p w14:paraId="7D9E95EC" w14:textId="77777777" w:rsidR="005D6BAB" w:rsidRPr="0054625C" w:rsidRDefault="005D6BAB" w:rsidP="0011581E">
            <w:pPr>
              <w:tabs>
                <w:tab w:val="left" w:pos="2640"/>
              </w:tabs>
              <w:snapToGrid w:val="0"/>
              <w:spacing w:after="100"/>
              <w:rPr>
                <w:rFonts w:cs="Arial"/>
                <w:sz w:val="20"/>
                <w:szCs w:val="20"/>
              </w:rPr>
            </w:pPr>
            <w:r w:rsidRPr="0054625C">
              <w:rPr>
                <w:rFonts w:cs="Arial"/>
                <w:sz w:val="20"/>
                <w:szCs w:val="20"/>
              </w:rPr>
              <w:t xml:space="preserve">City of </w:t>
            </w:r>
            <w:smartTag w:uri="urn:schemas-microsoft-com:office:smarttags" w:element="place">
              <w:smartTag w:uri="urn:schemas-microsoft-com:office:smarttags" w:element="country-region">
                <w:r w:rsidRPr="0054625C">
                  <w:rPr>
                    <w:rFonts w:cs="Arial"/>
                    <w:sz w:val="20"/>
                    <w:szCs w:val="20"/>
                  </w:rPr>
                  <w:t>Lincoln</w:t>
                </w:r>
              </w:smartTag>
            </w:smartTag>
            <w:r w:rsidRPr="0054625C">
              <w:rPr>
                <w:rFonts w:cs="Arial"/>
                <w:sz w:val="20"/>
                <w:szCs w:val="20"/>
              </w:rPr>
              <w:t xml:space="preserve"> Council</w:t>
            </w:r>
          </w:p>
        </w:tc>
      </w:tr>
      <w:tr w:rsidR="005D6BAB" w:rsidRPr="0054625C" w14:paraId="24FBFA9B" w14:textId="77777777" w:rsidTr="0011581E">
        <w:tc>
          <w:tcPr>
            <w:tcW w:w="2760" w:type="dxa"/>
            <w:tcBorders>
              <w:left w:val="single" w:sz="4" w:space="0" w:color="000000"/>
              <w:bottom w:val="single" w:sz="4" w:space="0" w:color="000000"/>
            </w:tcBorders>
            <w:shd w:val="clear" w:color="auto" w:fill="E0E0E0"/>
          </w:tcPr>
          <w:p w14:paraId="0690D77E" w14:textId="77777777" w:rsidR="005D6BAB" w:rsidRPr="0054625C" w:rsidRDefault="005D6BAB" w:rsidP="0011581E">
            <w:pPr>
              <w:tabs>
                <w:tab w:val="left" w:pos="2640"/>
              </w:tabs>
              <w:snapToGrid w:val="0"/>
              <w:spacing w:after="100"/>
              <w:rPr>
                <w:rFonts w:cs="Arial"/>
                <w:b/>
                <w:sz w:val="20"/>
                <w:szCs w:val="20"/>
              </w:rPr>
            </w:pPr>
            <w:r w:rsidRPr="0054625C">
              <w:rPr>
                <w:rFonts w:cs="Arial"/>
                <w:b/>
                <w:sz w:val="20"/>
                <w:szCs w:val="20"/>
              </w:rPr>
              <w:t>Title</w:t>
            </w:r>
          </w:p>
        </w:tc>
        <w:tc>
          <w:tcPr>
            <w:tcW w:w="5975" w:type="dxa"/>
            <w:tcBorders>
              <w:left w:val="single" w:sz="4" w:space="0" w:color="000000"/>
              <w:bottom w:val="single" w:sz="4" w:space="0" w:color="000000"/>
              <w:right w:val="single" w:sz="4" w:space="0" w:color="000000"/>
            </w:tcBorders>
          </w:tcPr>
          <w:p w14:paraId="7DA7AF46" w14:textId="2C085131" w:rsidR="005D6BAB" w:rsidRPr="006134E2" w:rsidRDefault="006134E2" w:rsidP="006134E2">
            <w:pPr>
              <w:rPr>
                <w:sz w:val="20"/>
                <w:szCs w:val="20"/>
              </w:rPr>
            </w:pPr>
            <w:r w:rsidRPr="006134E2">
              <w:rPr>
                <w:sz w:val="20"/>
                <w:szCs w:val="20"/>
              </w:rPr>
              <w:t>Anti Money Laundering, Proceeds of Crime and Terrorist Financing Policy</w:t>
            </w:r>
          </w:p>
        </w:tc>
      </w:tr>
      <w:tr w:rsidR="005D6BAB" w:rsidRPr="0054625C" w14:paraId="6E406D0A" w14:textId="77777777" w:rsidTr="0011581E">
        <w:tc>
          <w:tcPr>
            <w:tcW w:w="2760" w:type="dxa"/>
            <w:tcBorders>
              <w:left w:val="single" w:sz="4" w:space="0" w:color="000000"/>
              <w:bottom w:val="single" w:sz="4" w:space="0" w:color="000000"/>
            </w:tcBorders>
            <w:shd w:val="clear" w:color="auto" w:fill="E0E0E0"/>
          </w:tcPr>
          <w:p w14:paraId="71C9CE9E" w14:textId="77777777" w:rsidR="005D6BAB" w:rsidRPr="0054625C" w:rsidRDefault="005D6BAB" w:rsidP="0011581E">
            <w:pPr>
              <w:tabs>
                <w:tab w:val="left" w:pos="2640"/>
              </w:tabs>
              <w:snapToGrid w:val="0"/>
              <w:spacing w:after="100"/>
              <w:rPr>
                <w:rFonts w:cs="Arial"/>
                <w:b/>
                <w:sz w:val="20"/>
                <w:szCs w:val="20"/>
              </w:rPr>
            </w:pPr>
            <w:r w:rsidRPr="0054625C">
              <w:rPr>
                <w:rFonts w:cs="Arial"/>
                <w:b/>
                <w:sz w:val="20"/>
                <w:szCs w:val="20"/>
              </w:rPr>
              <w:t>Author – name and title</w:t>
            </w:r>
          </w:p>
        </w:tc>
        <w:tc>
          <w:tcPr>
            <w:tcW w:w="5975" w:type="dxa"/>
            <w:tcBorders>
              <w:left w:val="single" w:sz="4" w:space="0" w:color="000000"/>
              <w:bottom w:val="single" w:sz="4" w:space="0" w:color="000000"/>
              <w:right w:val="single" w:sz="4" w:space="0" w:color="000000"/>
            </w:tcBorders>
          </w:tcPr>
          <w:p w14:paraId="71B2B71E" w14:textId="5CB4F157" w:rsidR="005D6BAB" w:rsidRDefault="00DB5C15" w:rsidP="0011581E">
            <w:pPr>
              <w:tabs>
                <w:tab w:val="left" w:pos="2640"/>
              </w:tabs>
              <w:snapToGrid w:val="0"/>
              <w:spacing w:after="100"/>
              <w:rPr>
                <w:rFonts w:cs="Arial"/>
                <w:sz w:val="20"/>
                <w:szCs w:val="20"/>
              </w:rPr>
            </w:pPr>
            <w:r>
              <w:rPr>
                <w:rFonts w:cs="Arial"/>
                <w:sz w:val="20"/>
                <w:szCs w:val="20"/>
              </w:rPr>
              <w:t xml:space="preserve">Graham Rose – </w:t>
            </w:r>
            <w:r w:rsidR="00DE6F00">
              <w:rPr>
                <w:rFonts w:cs="Arial"/>
                <w:sz w:val="20"/>
                <w:szCs w:val="20"/>
              </w:rPr>
              <w:t xml:space="preserve">Senior </w:t>
            </w:r>
            <w:r>
              <w:rPr>
                <w:rFonts w:cs="Arial"/>
                <w:sz w:val="20"/>
                <w:szCs w:val="20"/>
              </w:rPr>
              <w:t>Strategic Policy Officer</w:t>
            </w:r>
            <w:r w:rsidR="000C1CDB">
              <w:rPr>
                <w:rFonts w:cs="Arial"/>
                <w:sz w:val="20"/>
                <w:szCs w:val="20"/>
              </w:rPr>
              <w:t xml:space="preserve"> </w:t>
            </w:r>
          </w:p>
          <w:p w14:paraId="66087A15" w14:textId="0A535B06" w:rsidR="00C65203" w:rsidRPr="0054625C" w:rsidRDefault="00C65203" w:rsidP="0011581E">
            <w:pPr>
              <w:tabs>
                <w:tab w:val="left" w:pos="2640"/>
              </w:tabs>
              <w:snapToGrid w:val="0"/>
              <w:spacing w:after="100"/>
              <w:rPr>
                <w:rFonts w:cs="Arial"/>
                <w:sz w:val="20"/>
                <w:szCs w:val="20"/>
              </w:rPr>
            </w:pPr>
            <w:r>
              <w:rPr>
                <w:rFonts w:cs="Arial"/>
                <w:sz w:val="20"/>
                <w:szCs w:val="20"/>
              </w:rPr>
              <w:t xml:space="preserve">Gatherwell </w:t>
            </w:r>
          </w:p>
        </w:tc>
      </w:tr>
      <w:tr w:rsidR="005D6BAB" w:rsidRPr="0054625C" w14:paraId="40B59D4E" w14:textId="77777777" w:rsidTr="0011581E">
        <w:tc>
          <w:tcPr>
            <w:tcW w:w="2760" w:type="dxa"/>
            <w:tcBorders>
              <w:left w:val="single" w:sz="4" w:space="0" w:color="000000"/>
              <w:bottom w:val="single" w:sz="4" w:space="0" w:color="000000"/>
            </w:tcBorders>
            <w:shd w:val="clear" w:color="auto" w:fill="E0E0E0"/>
          </w:tcPr>
          <w:p w14:paraId="38A40AAD" w14:textId="77777777" w:rsidR="005D6BAB" w:rsidRPr="0054625C" w:rsidRDefault="005D6BAB" w:rsidP="0011581E">
            <w:pPr>
              <w:tabs>
                <w:tab w:val="left" w:pos="2640"/>
              </w:tabs>
              <w:snapToGrid w:val="0"/>
              <w:spacing w:after="100"/>
              <w:rPr>
                <w:rFonts w:cs="Arial"/>
                <w:b/>
                <w:sz w:val="20"/>
                <w:szCs w:val="20"/>
              </w:rPr>
            </w:pPr>
            <w:r w:rsidRPr="0054625C">
              <w:rPr>
                <w:rFonts w:cs="Arial"/>
                <w:b/>
                <w:sz w:val="20"/>
                <w:szCs w:val="20"/>
              </w:rPr>
              <w:t>Owner – name and title</w:t>
            </w:r>
          </w:p>
        </w:tc>
        <w:tc>
          <w:tcPr>
            <w:tcW w:w="5975" w:type="dxa"/>
            <w:tcBorders>
              <w:left w:val="single" w:sz="4" w:space="0" w:color="000000"/>
              <w:bottom w:val="single" w:sz="4" w:space="0" w:color="000000"/>
              <w:right w:val="single" w:sz="4" w:space="0" w:color="000000"/>
            </w:tcBorders>
          </w:tcPr>
          <w:p w14:paraId="7E0C3872" w14:textId="77777777" w:rsidR="0007740B" w:rsidRDefault="0025355D" w:rsidP="0025355D">
            <w:pPr>
              <w:tabs>
                <w:tab w:val="left" w:pos="2640"/>
              </w:tabs>
              <w:snapToGrid w:val="0"/>
              <w:spacing w:after="100"/>
              <w:rPr>
                <w:rFonts w:cs="Arial"/>
                <w:sz w:val="20"/>
                <w:szCs w:val="20"/>
              </w:rPr>
            </w:pPr>
            <w:r>
              <w:rPr>
                <w:rFonts w:cs="Arial"/>
                <w:sz w:val="20"/>
                <w:szCs w:val="20"/>
              </w:rPr>
              <w:t>Michelle Hoyles</w:t>
            </w:r>
            <w:r w:rsidR="00DB5C15">
              <w:rPr>
                <w:rFonts w:cs="Arial"/>
                <w:sz w:val="20"/>
                <w:szCs w:val="20"/>
              </w:rPr>
              <w:t xml:space="preserve"> –</w:t>
            </w:r>
            <w:r>
              <w:rPr>
                <w:rFonts w:cs="Arial"/>
                <w:sz w:val="20"/>
                <w:szCs w:val="20"/>
              </w:rPr>
              <w:t xml:space="preserve"> Business Manager – Corporate Policy &amp; Transformation</w:t>
            </w:r>
          </w:p>
          <w:p w14:paraId="35DE5B7C" w14:textId="3A856882" w:rsidR="00CF7C9D" w:rsidRDefault="00CF7C9D" w:rsidP="00CF7C9D">
            <w:pPr>
              <w:tabs>
                <w:tab w:val="left" w:pos="2640"/>
              </w:tabs>
              <w:snapToGrid w:val="0"/>
              <w:spacing w:after="100"/>
              <w:rPr>
                <w:rFonts w:cs="Arial"/>
                <w:sz w:val="20"/>
                <w:szCs w:val="20"/>
              </w:rPr>
            </w:pPr>
            <w:r>
              <w:rPr>
                <w:rFonts w:cs="Arial"/>
                <w:sz w:val="20"/>
                <w:szCs w:val="20"/>
              </w:rPr>
              <w:t>Graham Rose – Senior Strategic Policy Officer</w:t>
            </w:r>
          </w:p>
          <w:p w14:paraId="083A5403" w14:textId="2E687772" w:rsidR="00CF7C9D" w:rsidRPr="0054625C" w:rsidRDefault="00CF7C9D" w:rsidP="00CF7C9D">
            <w:pPr>
              <w:tabs>
                <w:tab w:val="left" w:pos="2640"/>
              </w:tabs>
              <w:snapToGrid w:val="0"/>
              <w:spacing w:after="100"/>
              <w:rPr>
                <w:rFonts w:cs="Arial"/>
                <w:sz w:val="20"/>
                <w:szCs w:val="20"/>
              </w:rPr>
            </w:pPr>
            <w:r>
              <w:rPr>
                <w:rFonts w:cs="Arial"/>
                <w:sz w:val="20"/>
                <w:szCs w:val="20"/>
              </w:rPr>
              <w:t>Gatherwell</w:t>
            </w:r>
          </w:p>
        </w:tc>
      </w:tr>
      <w:tr w:rsidR="005D6BAB" w:rsidRPr="0054625C" w14:paraId="20BA648B" w14:textId="77777777" w:rsidTr="0011581E">
        <w:tc>
          <w:tcPr>
            <w:tcW w:w="2760" w:type="dxa"/>
            <w:tcBorders>
              <w:left w:val="single" w:sz="4" w:space="0" w:color="000000"/>
              <w:bottom w:val="single" w:sz="4" w:space="0" w:color="000000"/>
            </w:tcBorders>
            <w:shd w:val="clear" w:color="auto" w:fill="E0E0E0"/>
          </w:tcPr>
          <w:p w14:paraId="1260853E" w14:textId="77777777" w:rsidR="005D6BAB" w:rsidRPr="0054625C" w:rsidRDefault="005D6BAB" w:rsidP="0011581E">
            <w:pPr>
              <w:tabs>
                <w:tab w:val="left" w:pos="2640"/>
              </w:tabs>
              <w:snapToGrid w:val="0"/>
              <w:spacing w:after="100"/>
              <w:rPr>
                <w:rFonts w:cs="Arial"/>
                <w:b/>
                <w:sz w:val="20"/>
                <w:szCs w:val="20"/>
              </w:rPr>
            </w:pPr>
            <w:r w:rsidRPr="0054625C">
              <w:rPr>
                <w:rFonts w:cs="Arial"/>
                <w:b/>
                <w:sz w:val="20"/>
                <w:szCs w:val="20"/>
              </w:rPr>
              <w:t>Date</w:t>
            </w:r>
          </w:p>
        </w:tc>
        <w:tc>
          <w:tcPr>
            <w:tcW w:w="5975" w:type="dxa"/>
            <w:tcBorders>
              <w:left w:val="single" w:sz="4" w:space="0" w:color="000000"/>
              <w:bottom w:val="single" w:sz="4" w:space="0" w:color="000000"/>
              <w:right w:val="single" w:sz="4" w:space="0" w:color="000000"/>
            </w:tcBorders>
          </w:tcPr>
          <w:p w14:paraId="1BE44F14" w14:textId="087F0717" w:rsidR="005D6BAB" w:rsidRPr="0054625C" w:rsidRDefault="0007740B" w:rsidP="0011581E">
            <w:pPr>
              <w:tabs>
                <w:tab w:val="left" w:pos="2640"/>
              </w:tabs>
              <w:snapToGrid w:val="0"/>
              <w:spacing w:after="100"/>
              <w:rPr>
                <w:rFonts w:cs="Arial"/>
                <w:sz w:val="20"/>
                <w:szCs w:val="20"/>
              </w:rPr>
            </w:pPr>
            <w:r>
              <w:rPr>
                <w:rFonts w:cs="Arial"/>
                <w:sz w:val="20"/>
                <w:szCs w:val="20"/>
              </w:rPr>
              <w:t>September 2023</w:t>
            </w:r>
          </w:p>
        </w:tc>
      </w:tr>
      <w:tr w:rsidR="005D6BAB" w:rsidRPr="0054625C" w14:paraId="54235AE9" w14:textId="77777777" w:rsidTr="0011581E">
        <w:tc>
          <w:tcPr>
            <w:tcW w:w="2760" w:type="dxa"/>
            <w:tcBorders>
              <w:left w:val="single" w:sz="4" w:space="0" w:color="000000"/>
              <w:bottom w:val="single" w:sz="4" w:space="0" w:color="000000"/>
            </w:tcBorders>
            <w:shd w:val="clear" w:color="auto" w:fill="E0E0E0"/>
          </w:tcPr>
          <w:p w14:paraId="29AFFDC4" w14:textId="77777777" w:rsidR="00FF294F" w:rsidRDefault="00FF294F" w:rsidP="00FF294F">
            <w:pPr>
              <w:pStyle w:val="Pa1"/>
              <w:rPr>
                <w:rStyle w:val="A2"/>
                <w:rFonts w:eastAsiaTheme="majorEastAsia"/>
                <w:bCs/>
                <w:sz w:val="22"/>
                <w:szCs w:val="22"/>
              </w:rPr>
            </w:pPr>
            <w:r>
              <w:rPr>
                <w:rStyle w:val="A2"/>
                <w:rFonts w:eastAsiaTheme="majorEastAsia"/>
                <w:bCs/>
                <w:sz w:val="22"/>
                <w:szCs w:val="22"/>
              </w:rPr>
              <w:t>Approval date</w:t>
            </w:r>
          </w:p>
          <w:p w14:paraId="5FA716CD" w14:textId="5D9389EA" w:rsidR="005D6BAB" w:rsidRPr="00FF294F" w:rsidRDefault="005D6BAB" w:rsidP="00FF294F">
            <w:pPr>
              <w:tabs>
                <w:tab w:val="left" w:pos="2640"/>
              </w:tabs>
              <w:snapToGrid w:val="0"/>
              <w:spacing w:after="100"/>
              <w:rPr>
                <w:rFonts w:cs="Arial"/>
                <w:b/>
                <w:sz w:val="20"/>
                <w:szCs w:val="20"/>
              </w:rPr>
            </w:pPr>
          </w:p>
        </w:tc>
        <w:tc>
          <w:tcPr>
            <w:tcW w:w="5975" w:type="dxa"/>
            <w:tcBorders>
              <w:left w:val="single" w:sz="4" w:space="0" w:color="000000"/>
              <w:bottom w:val="single" w:sz="4" w:space="0" w:color="000000"/>
              <w:right w:val="single" w:sz="4" w:space="0" w:color="000000"/>
            </w:tcBorders>
          </w:tcPr>
          <w:p w14:paraId="2822A512" w14:textId="3EBFAFD7" w:rsidR="005D6BAB" w:rsidRPr="008F2FCC" w:rsidRDefault="008F2FCC" w:rsidP="0011581E">
            <w:pPr>
              <w:tabs>
                <w:tab w:val="left" w:pos="2640"/>
              </w:tabs>
              <w:snapToGrid w:val="0"/>
              <w:spacing w:after="100"/>
              <w:rPr>
                <w:rFonts w:cs="Arial"/>
                <w:sz w:val="20"/>
                <w:szCs w:val="20"/>
              </w:rPr>
            </w:pPr>
            <w:r w:rsidRPr="008F2FCC">
              <w:rPr>
                <w:rFonts w:cs="Arial"/>
                <w:bCs/>
                <w:sz w:val="20"/>
                <w:szCs w:val="20"/>
              </w:rPr>
              <w:t>Approved by Corporate Policy &amp; Transformation Team – 17</w:t>
            </w:r>
            <w:r w:rsidRPr="008F2FCC">
              <w:rPr>
                <w:rFonts w:cs="Arial"/>
                <w:bCs/>
                <w:sz w:val="20"/>
                <w:szCs w:val="20"/>
                <w:vertAlign w:val="superscript"/>
              </w:rPr>
              <w:t>th</w:t>
            </w:r>
            <w:r w:rsidRPr="008F2FCC">
              <w:rPr>
                <w:rFonts w:cs="Arial"/>
                <w:bCs/>
                <w:sz w:val="20"/>
                <w:szCs w:val="20"/>
              </w:rPr>
              <w:t xml:space="preserve"> September 2023</w:t>
            </w:r>
          </w:p>
        </w:tc>
      </w:tr>
      <w:tr w:rsidR="005D6BAB" w:rsidRPr="0054625C" w14:paraId="2AA5594C" w14:textId="77777777" w:rsidTr="0011581E">
        <w:tc>
          <w:tcPr>
            <w:tcW w:w="2760" w:type="dxa"/>
            <w:tcBorders>
              <w:left w:val="single" w:sz="4" w:space="0" w:color="000000"/>
              <w:bottom w:val="single" w:sz="4" w:space="0" w:color="000000"/>
            </w:tcBorders>
            <w:shd w:val="clear" w:color="auto" w:fill="E0E0E0"/>
          </w:tcPr>
          <w:p w14:paraId="6B637F66" w14:textId="77777777" w:rsidR="005D6BAB" w:rsidRPr="0054625C" w:rsidRDefault="005D6BAB" w:rsidP="0011581E">
            <w:pPr>
              <w:tabs>
                <w:tab w:val="left" w:pos="2640"/>
              </w:tabs>
              <w:snapToGrid w:val="0"/>
              <w:spacing w:after="100"/>
              <w:rPr>
                <w:rFonts w:cs="Arial"/>
                <w:b/>
                <w:sz w:val="20"/>
                <w:szCs w:val="20"/>
              </w:rPr>
            </w:pPr>
            <w:r w:rsidRPr="0054625C">
              <w:rPr>
                <w:rFonts w:cs="Arial"/>
                <w:b/>
                <w:sz w:val="20"/>
                <w:szCs w:val="20"/>
              </w:rPr>
              <w:t>Filename</w:t>
            </w:r>
          </w:p>
        </w:tc>
        <w:tc>
          <w:tcPr>
            <w:tcW w:w="5975" w:type="dxa"/>
            <w:tcBorders>
              <w:left w:val="single" w:sz="4" w:space="0" w:color="000000"/>
              <w:bottom w:val="single" w:sz="4" w:space="0" w:color="000000"/>
              <w:right w:val="single" w:sz="4" w:space="0" w:color="000000"/>
            </w:tcBorders>
          </w:tcPr>
          <w:p w14:paraId="631B5554" w14:textId="4830BE4F" w:rsidR="005D6BAB" w:rsidRPr="0054625C" w:rsidRDefault="00B04C5A" w:rsidP="0011581E">
            <w:pPr>
              <w:pStyle w:val="List"/>
              <w:tabs>
                <w:tab w:val="left" w:pos="2640"/>
              </w:tabs>
              <w:snapToGrid w:val="0"/>
              <w:spacing w:before="0" w:after="100" w:line="100" w:lineRule="atLeast"/>
              <w:rPr>
                <w:rFonts w:cs="Arial"/>
                <w:sz w:val="20"/>
              </w:rPr>
            </w:pPr>
            <w:r w:rsidRPr="00B04C5A">
              <w:rPr>
                <w:sz w:val="20"/>
              </w:rPr>
              <w:t xml:space="preserve">City of Lincoln Council - Anti Money Laundering Policy </w:t>
            </w:r>
            <w:r w:rsidR="00C46307">
              <w:rPr>
                <w:sz w:val="20"/>
              </w:rPr>
              <w:t>–</w:t>
            </w:r>
            <w:r w:rsidRPr="00B04C5A">
              <w:rPr>
                <w:sz w:val="20"/>
              </w:rPr>
              <w:t xml:space="preserve"> </w:t>
            </w:r>
            <w:r w:rsidR="00C46307">
              <w:rPr>
                <w:sz w:val="20"/>
              </w:rPr>
              <w:t>March 2024</w:t>
            </w:r>
          </w:p>
        </w:tc>
      </w:tr>
      <w:tr w:rsidR="005D6BAB" w:rsidRPr="0054625C" w14:paraId="2158E555" w14:textId="77777777" w:rsidTr="0011581E">
        <w:tc>
          <w:tcPr>
            <w:tcW w:w="2760" w:type="dxa"/>
            <w:tcBorders>
              <w:top w:val="single" w:sz="4" w:space="0" w:color="000000"/>
              <w:left w:val="single" w:sz="4" w:space="0" w:color="000000"/>
              <w:bottom w:val="single" w:sz="4" w:space="0" w:color="000000"/>
            </w:tcBorders>
            <w:shd w:val="clear" w:color="auto" w:fill="E0E0E0"/>
          </w:tcPr>
          <w:p w14:paraId="245F9406" w14:textId="77777777" w:rsidR="00FF294F" w:rsidRPr="00FC26E7" w:rsidRDefault="00FF294F" w:rsidP="00FF294F">
            <w:pPr>
              <w:pStyle w:val="Pa1"/>
              <w:rPr>
                <w:rStyle w:val="A2"/>
                <w:rFonts w:eastAsiaTheme="majorEastAsia"/>
                <w:bCs/>
                <w:sz w:val="22"/>
                <w:szCs w:val="22"/>
              </w:rPr>
            </w:pPr>
            <w:r w:rsidRPr="00FC26E7">
              <w:rPr>
                <w:rStyle w:val="A2"/>
                <w:rFonts w:eastAsiaTheme="majorEastAsia"/>
                <w:bCs/>
                <w:sz w:val="22"/>
                <w:szCs w:val="22"/>
              </w:rPr>
              <w:t>Version</w:t>
            </w:r>
          </w:p>
          <w:p w14:paraId="01BE74BD" w14:textId="77777777" w:rsidR="00FF294F" w:rsidRPr="00FF294F" w:rsidRDefault="00FF294F" w:rsidP="00FF294F">
            <w:pPr>
              <w:pStyle w:val="Default"/>
              <w:rPr>
                <w:sz w:val="16"/>
                <w:szCs w:val="16"/>
              </w:rPr>
            </w:pPr>
            <w:r w:rsidRPr="00FF294F">
              <w:rPr>
                <w:sz w:val="16"/>
                <w:szCs w:val="16"/>
              </w:rPr>
              <w:t>(V0.1 is draft and then to V.02</w:t>
            </w:r>
          </w:p>
          <w:p w14:paraId="02911FE0" w14:textId="77777777" w:rsidR="005D6BAB" w:rsidRPr="0054625C" w:rsidRDefault="00FF294F" w:rsidP="00FF294F">
            <w:pPr>
              <w:tabs>
                <w:tab w:val="left" w:pos="2640"/>
              </w:tabs>
              <w:snapToGrid w:val="0"/>
              <w:spacing w:after="100"/>
              <w:rPr>
                <w:rFonts w:cs="Arial"/>
                <w:b/>
                <w:sz w:val="20"/>
                <w:szCs w:val="20"/>
              </w:rPr>
            </w:pPr>
            <w:r w:rsidRPr="00FF294F">
              <w:rPr>
                <w:rFonts w:cs="Arial"/>
                <w:sz w:val="16"/>
                <w:szCs w:val="16"/>
              </w:rPr>
              <w:t>V1.0 is the final version)</w:t>
            </w:r>
          </w:p>
        </w:tc>
        <w:tc>
          <w:tcPr>
            <w:tcW w:w="5975" w:type="dxa"/>
            <w:tcBorders>
              <w:top w:val="single" w:sz="4" w:space="0" w:color="000000"/>
              <w:left w:val="single" w:sz="4" w:space="0" w:color="000000"/>
              <w:bottom w:val="single" w:sz="4" w:space="0" w:color="000000"/>
              <w:right w:val="single" w:sz="4" w:space="0" w:color="000000"/>
            </w:tcBorders>
          </w:tcPr>
          <w:p w14:paraId="1480841C" w14:textId="5A91D488" w:rsidR="005D6BAB" w:rsidRPr="00AE7F0D" w:rsidRDefault="0060243B" w:rsidP="0011581E">
            <w:pPr>
              <w:tabs>
                <w:tab w:val="left" w:pos="2640"/>
              </w:tabs>
              <w:snapToGrid w:val="0"/>
              <w:spacing w:after="100"/>
              <w:rPr>
                <w:rFonts w:cs="Arial"/>
                <w:sz w:val="20"/>
                <w:szCs w:val="20"/>
              </w:rPr>
            </w:pPr>
            <w:r w:rsidRPr="00AE7F0D">
              <w:rPr>
                <w:rFonts w:cs="Arial"/>
                <w:sz w:val="20"/>
                <w:szCs w:val="20"/>
              </w:rPr>
              <w:t>V1.</w:t>
            </w:r>
            <w:r w:rsidR="00A249E8">
              <w:rPr>
                <w:rFonts w:cs="Arial"/>
                <w:sz w:val="20"/>
                <w:szCs w:val="20"/>
              </w:rPr>
              <w:t>1</w:t>
            </w:r>
          </w:p>
        </w:tc>
      </w:tr>
      <w:tr w:rsidR="005D6BAB" w:rsidRPr="0054625C" w14:paraId="33F4F51D" w14:textId="77777777" w:rsidTr="0011581E">
        <w:tc>
          <w:tcPr>
            <w:tcW w:w="2760" w:type="dxa"/>
            <w:tcBorders>
              <w:top w:val="single" w:sz="4" w:space="0" w:color="000000"/>
              <w:left w:val="single" w:sz="4" w:space="0" w:color="000000"/>
              <w:bottom w:val="single" w:sz="4" w:space="0" w:color="000000"/>
            </w:tcBorders>
            <w:shd w:val="clear" w:color="auto" w:fill="E0E0E0"/>
          </w:tcPr>
          <w:p w14:paraId="6A62C4D0" w14:textId="77777777" w:rsidR="005D6BAB" w:rsidRPr="0054625C" w:rsidRDefault="005D6BAB" w:rsidP="0011581E">
            <w:pPr>
              <w:tabs>
                <w:tab w:val="left" w:pos="2640"/>
              </w:tabs>
              <w:snapToGrid w:val="0"/>
              <w:spacing w:after="100"/>
              <w:rPr>
                <w:rFonts w:cs="Arial"/>
                <w:b/>
                <w:sz w:val="20"/>
                <w:szCs w:val="20"/>
              </w:rPr>
            </w:pPr>
            <w:r w:rsidRPr="0054625C">
              <w:rPr>
                <w:rFonts w:cs="Arial"/>
                <w:b/>
                <w:sz w:val="20"/>
                <w:szCs w:val="20"/>
              </w:rPr>
              <w:t>Next Review Date</w:t>
            </w:r>
          </w:p>
        </w:tc>
        <w:tc>
          <w:tcPr>
            <w:tcW w:w="5975" w:type="dxa"/>
            <w:tcBorders>
              <w:top w:val="single" w:sz="4" w:space="0" w:color="000000"/>
              <w:left w:val="single" w:sz="4" w:space="0" w:color="000000"/>
              <w:bottom w:val="single" w:sz="4" w:space="0" w:color="000000"/>
              <w:right w:val="single" w:sz="4" w:space="0" w:color="000000"/>
            </w:tcBorders>
          </w:tcPr>
          <w:p w14:paraId="6A254C82" w14:textId="70B1E5AA" w:rsidR="005D6BAB" w:rsidRPr="00AE7F0D" w:rsidRDefault="00645FBE" w:rsidP="0011581E">
            <w:pPr>
              <w:tabs>
                <w:tab w:val="left" w:pos="2640"/>
              </w:tabs>
              <w:snapToGrid w:val="0"/>
              <w:spacing w:after="100"/>
              <w:rPr>
                <w:rFonts w:cs="Arial"/>
                <w:sz w:val="20"/>
                <w:szCs w:val="20"/>
              </w:rPr>
            </w:pPr>
            <w:r>
              <w:rPr>
                <w:rFonts w:cs="Arial"/>
                <w:sz w:val="20"/>
                <w:szCs w:val="20"/>
              </w:rPr>
              <w:t>March</w:t>
            </w:r>
            <w:r w:rsidR="0060243B" w:rsidRPr="00AE7F0D">
              <w:rPr>
                <w:rFonts w:cs="Arial"/>
                <w:sz w:val="20"/>
                <w:szCs w:val="20"/>
              </w:rPr>
              <w:t xml:space="preserve"> 202</w:t>
            </w:r>
            <w:r w:rsidR="00A249E8">
              <w:rPr>
                <w:rFonts w:cs="Arial"/>
                <w:sz w:val="20"/>
                <w:szCs w:val="20"/>
              </w:rPr>
              <w:t>5</w:t>
            </w:r>
          </w:p>
        </w:tc>
      </w:tr>
    </w:tbl>
    <w:p w14:paraId="576C23DD" w14:textId="77777777" w:rsidR="005D6BAB" w:rsidRPr="0054625C" w:rsidRDefault="005D6BAB" w:rsidP="005D6BAB">
      <w:pPr>
        <w:rPr>
          <w:rFonts w:cs="Arial"/>
          <w:sz w:val="20"/>
          <w:szCs w:val="20"/>
        </w:rPr>
      </w:pPr>
    </w:p>
    <w:p w14:paraId="656723E1" w14:textId="77777777" w:rsidR="005D6BAB" w:rsidRPr="0054625C" w:rsidRDefault="005D6BAB" w:rsidP="00B17FFC">
      <w:pPr>
        <w:ind w:left="142"/>
        <w:rPr>
          <w:rFonts w:cs="Arial"/>
          <w:b/>
          <w:sz w:val="20"/>
          <w:szCs w:val="20"/>
        </w:rPr>
      </w:pPr>
      <w:r w:rsidRPr="0054625C">
        <w:rPr>
          <w:rFonts w:cs="Arial"/>
          <w:b/>
          <w:sz w:val="20"/>
          <w:szCs w:val="20"/>
        </w:rPr>
        <w:t>Document Amendment History</w:t>
      </w:r>
    </w:p>
    <w:tbl>
      <w:tblPr>
        <w:tblW w:w="0" w:type="auto"/>
        <w:tblInd w:w="108" w:type="dxa"/>
        <w:tblLayout w:type="fixed"/>
        <w:tblLook w:val="0000" w:firstRow="0" w:lastRow="0" w:firstColumn="0" w:lastColumn="0" w:noHBand="0" w:noVBand="0"/>
      </w:tblPr>
      <w:tblGrid>
        <w:gridCol w:w="1905"/>
        <w:gridCol w:w="2377"/>
        <w:gridCol w:w="1223"/>
        <w:gridCol w:w="3171"/>
      </w:tblGrid>
      <w:tr w:rsidR="005D6BAB" w:rsidRPr="0054625C" w14:paraId="7DB25AA6" w14:textId="77777777" w:rsidTr="008B7704">
        <w:tc>
          <w:tcPr>
            <w:tcW w:w="1905" w:type="dxa"/>
            <w:tcBorders>
              <w:top w:val="single" w:sz="4" w:space="0" w:color="000000"/>
              <w:left w:val="single" w:sz="4" w:space="0" w:color="000000"/>
              <w:bottom w:val="single" w:sz="4" w:space="0" w:color="auto"/>
            </w:tcBorders>
            <w:shd w:val="clear" w:color="auto" w:fill="E0E0E0"/>
          </w:tcPr>
          <w:p w14:paraId="4847BAB1" w14:textId="77777777" w:rsidR="005D6BAB" w:rsidRPr="0054625C" w:rsidRDefault="005D6BAB" w:rsidP="0011581E">
            <w:pPr>
              <w:snapToGrid w:val="0"/>
              <w:spacing w:after="100"/>
              <w:rPr>
                <w:rFonts w:cs="Arial"/>
                <w:b/>
                <w:sz w:val="20"/>
                <w:szCs w:val="20"/>
              </w:rPr>
            </w:pPr>
            <w:r w:rsidRPr="0054625C">
              <w:rPr>
                <w:rFonts w:cs="Arial"/>
                <w:b/>
                <w:sz w:val="20"/>
                <w:szCs w:val="20"/>
              </w:rPr>
              <w:t>Revision</w:t>
            </w:r>
          </w:p>
        </w:tc>
        <w:tc>
          <w:tcPr>
            <w:tcW w:w="2377" w:type="dxa"/>
            <w:tcBorders>
              <w:top w:val="single" w:sz="4" w:space="0" w:color="000000"/>
              <w:left w:val="single" w:sz="4" w:space="0" w:color="000000"/>
              <w:bottom w:val="single" w:sz="4" w:space="0" w:color="auto"/>
            </w:tcBorders>
            <w:shd w:val="clear" w:color="auto" w:fill="E0E0E0"/>
          </w:tcPr>
          <w:p w14:paraId="02D1EB40" w14:textId="77777777" w:rsidR="005D6BAB" w:rsidRPr="0054625C" w:rsidRDefault="005D6BAB" w:rsidP="0011581E">
            <w:pPr>
              <w:snapToGrid w:val="0"/>
              <w:spacing w:after="100"/>
              <w:rPr>
                <w:rFonts w:cs="Arial"/>
                <w:b/>
                <w:sz w:val="20"/>
                <w:szCs w:val="20"/>
              </w:rPr>
            </w:pPr>
            <w:r w:rsidRPr="0054625C">
              <w:rPr>
                <w:rFonts w:cs="Arial"/>
                <w:b/>
                <w:sz w:val="20"/>
                <w:szCs w:val="20"/>
              </w:rPr>
              <w:t>Originator of change</w:t>
            </w:r>
          </w:p>
        </w:tc>
        <w:tc>
          <w:tcPr>
            <w:tcW w:w="1223" w:type="dxa"/>
            <w:tcBorders>
              <w:top w:val="single" w:sz="4" w:space="0" w:color="000000"/>
              <w:left w:val="single" w:sz="4" w:space="0" w:color="000000"/>
              <w:bottom w:val="single" w:sz="4" w:space="0" w:color="auto"/>
            </w:tcBorders>
            <w:shd w:val="clear" w:color="auto" w:fill="E0E0E0"/>
          </w:tcPr>
          <w:p w14:paraId="4A3AACA6" w14:textId="77777777" w:rsidR="005D6BAB" w:rsidRPr="0054625C" w:rsidRDefault="005D6BAB" w:rsidP="0011581E">
            <w:pPr>
              <w:snapToGrid w:val="0"/>
              <w:spacing w:after="100"/>
              <w:rPr>
                <w:rFonts w:cs="Arial"/>
                <w:b/>
                <w:sz w:val="20"/>
                <w:szCs w:val="20"/>
              </w:rPr>
            </w:pPr>
            <w:r w:rsidRPr="0054625C">
              <w:rPr>
                <w:rFonts w:cs="Arial"/>
                <w:b/>
                <w:sz w:val="20"/>
                <w:szCs w:val="20"/>
              </w:rPr>
              <w:t>Date of change</w:t>
            </w:r>
          </w:p>
        </w:tc>
        <w:tc>
          <w:tcPr>
            <w:tcW w:w="3171" w:type="dxa"/>
            <w:tcBorders>
              <w:top w:val="single" w:sz="4" w:space="0" w:color="000000"/>
              <w:left w:val="single" w:sz="4" w:space="0" w:color="000000"/>
              <w:bottom w:val="single" w:sz="4" w:space="0" w:color="auto"/>
              <w:right w:val="single" w:sz="4" w:space="0" w:color="000000"/>
            </w:tcBorders>
            <w:shd w:val="clear" w:color="auto" w:fill="E0E0E0"/>
          </w:tcPr>
          <w:p w14:paraId="47FE3133" w14:textId="77777777" w:rsidR="005D6BAB" w:rsidRPr="0054625C" w:rsidRDefault="005D6BAB" w:rsidP="0011581E">
            <w:pPr>
              <w:snapToGrid w:val="0"/>
              <w:spacing w:after="100"/>
              <w:rPr>
                <w:rFonts w:cs="Arial"/>
                <w:b/>
                <w:sz w:val="20"/>
                <w:szCs w:val="20"/>
              </w:rPr>
            </w:pPr>
            <w:r w:rsidRPr="0054625C">
              <w:rPr>
                <w:rFonts w:cs="Arial"/>
                <w:b/>
                <w:sz w:val="20"/>
                <w:szCs w:val="20"/>
              </w:rPr>
              <w:t>Change description</w:t>
            </w:r>
          </w:p>
        </w:tc>
      </w:tr>
      <w:tr w:rsidR="005D6BAB" w:rsidRPr="0054625C" w14:paraId="4D1CB051" w14:textId="77777777" w:rsidTr="008B7704">
        <w:tc>
          <w:tcPr>
            <w:tcW w:w="1905" w:type="dxa"/>
            <w:tcBorders>
              <w:top w:val="single" w:sz="4" w:space="0" w:color="auto"/>
              <w:left w:val="single" w:sz="4" w:space="0" w:color="auto"/>
              <w:bottom w:val="single" w:sz="4" w:space="0" w:color="auto"/>
              <w:right w:val="single" w:sz="4" w:space="0" w:color="auto"/>
            </w:tcBorders>
          </w:tcPr>
          <w:p w14:paraId="3E4C8C70" w14:textId="40CD0EF1" w:rsidR="005D6BAB" w:rsidRPr="00D630BF" w:rsidRDefault="00A249E8" w:rsidP="0011581E">
            <w:pPr>
              <w:rPr>
                <w:rFonts w:cs="Arial"/>
                <w:sz w:val="20"/>
                <w:szCs w:val="20"/>
              </w:rPr>
            </w:pPr>
            <w:r>
              <w:rPr>
                <w:rFonts w:cs="Arial"/>
                <w:sz w:val="20"/>
                <w:szCs w:val="20"/>
              </w:rPr>
              <w:t>V1.</w:t>
            </w:r>
            <w:r w:rsidR="00301640">
              <w:rPr>
                <w:rFonts w:cs="Arial"/>
                <w:sz w:val="20"/>
                <w:szCs w:val="20"/>
              </w:rPr>
              <w:t>1</w:t>
            </w:r>
          </w:p>
        </w:tc>
        <w:tc>
          <w:tcPr>
            <w:tcW w:w="2377" w:type="dxa"/>
            <w:tcBorders>
              <w:top w:val="single" w:sz="4" w:space="0" w:color="auto"/>
              <w:left w:val="single" w:sz="4" w:space="0" w:color="auto"/>
              <w:bottom w:val="single" w:sz="4" w:space="0" w:color="auto"/>
              <w:right w:val="single" w:sz="4" w:space="0" w:color="auto"/>
            </w:tcBorders>
          </w:tcPr>
          <w:p w14:paraId="0AAF1B80" w14:textId="338B6D61" w:rsidR="00EC4341" w:rsidRPr="00D630BF" w:rsidRDefault="00FE3287" w:rsidP="0011581E">
            <w:pPr>
              <w:snapToGrid w:val="0"/>
              <w:rPr>
                <w:rFonts w:cs="Arial"/>
                <w:sz w:val="20"/>
                <w:szCs w:val="20"/>
              </w:rPr>
            </w:pPr>
            <w:r>
              <w:rPr>
                <w:rFonts w:cs="Arial"/>
                <w:sz w:val="20"/>
                <w:szCs w:val="20"/>
              </w:rPr>
              <w:t>Graham Rose – Senior Strategic Policy Officer</w:t>
            </w:r>
          </w:p>
        </w:tc>
        <w:tc>
          <w:tcPr>
            <w:tcW w:w="1223" w:type="dxa"/>
            <w:tcBorders>
              <w:top w:val="single" w:sz="4" w:space="0" w:color="auto"/>
              <w:left w:val="single" w:sz="4" w:space="0" w:color="auto"/>
              <w:bottom w:val="single" w:sz="4" w:space="0" w:color="auto"/>
              <w:right w:val="single" w:sz="4" w:space="0" w:color="auto"/>
            </w:tcBorders>
          </w:tcPr>
          <w:p w14:paraId="7ABEB458" w14:textId="0C31CA52" w:rsidR="005D6BAB" w:rsidRPr="00D630BF" w:rsidRDefault="00383CC9" w:rsidP="0011581E">
            <w:pPr>
              <w:snapToGrid w:val="0"/>
              <w:rPr>
                <w:rFonts w:cs="Arial"/>
                <w:sz w:val="20"/>
                <w:szCs w:val="20"/>
              </w:rPr>
            </w:pPr>
            <w:r>
              <w:rPr>
                <w:rFonts w:cs="Arial"/>
                <w:sz w:val="20"/>
                <w:szCs w:val="20"/>
              </w:rPr>
              <w:t>6/3/24</w:t>
            </w:r>
          </w:p>
        </w:tc>
        <w:tc>
          <w:tcPr>
            <w:tcW w:w="3171" w:type="dxa"/>
            <w:tcBorders>
              <w:top w:val="single" w:sz="4" w:space="0" w:color="auto"/>
              <w:left w:val="single" w:sz="4" w:space="0" w:color="auto"/>
              <w:bottom w:val="single" w:sz="4" w:space="0" w:color="auto"/>
              <w:right w:val="single" w:sz="4" w:space="0" w:color="auto"/>
            </w:tcBorders>
          </w:tcPr>
          <w:p w14:paraId="011992AD" w14:textId="4D411E2B" w:rsidR="00EC4341" w:rsidRPr="006461EA" w:rsidRDefault="006461EA" w:rsidP="0011581E">
            <w:pPr>
              <w:rPr>
                <w:rFonts w:cs="Arial"/>
                <w:sz w:val="20"/>
                <w:szCs w:val="20"/>
              </w:rPr>
            </w:pPr>
            <w:r w:rsidRPr="006461EA">
              <w:rPr>
                <w:rFonts w:cs="Arial"/>
                <w:sz w:val="20"/>
                <w:szCs w:val="20"/>
              </w:rPr>
              <w:t>Annual review undertaken in March 2024 in line with date of when original licence / policies were implemented. Full policy has been reviewed to ensure contents remain correct and</w:t>
            </w:r>
            <w:r>
              <w:rPr>
                <w:rFonts w:cs="Arial"/>
                <w:sz w:val="20"/>
                <w:szCs w:val="20"/>
              </w:rPr>
              <w:t xml:space="preserve"> </w:t>
            </w:r>
            <w:r w:rsidR="00320F67">
              <w:rPr>
                <w:rFonts w:cs="Arial"/>
                <w:sz w:val="20"/>
                <w:szCs w:val="20"/>
              </w:rPr>
              <w:t>continue to be</w:t>
            </w:r>
            <w:r w:rsidRPr="006461EA">
              <w:rPr>
                <w:rFonts w:cs="Arial"/>
                <w:sz w:val="20"/>
                <w:szCs w:val="20"/>
              </w:rPr>
              <w:t xml:space="preserve"> in line with the wording suggested by Gatherwell, which has been approved by the Gambling Commission as meeting the terms of the licence.</w:t>
            </w:r>
          </w:p>
        </w:tc>
      </w:tr>
    </w:tbl>
    <w:p w14:paraId="60A4F97A" w14:textId="77777777" w:rsidR="005D6BAB" w:rsidRDefault="005D6BAB" w:rsidP="005D6BAB">
      <w:pPr>
        <w:jc w:val="center"/>
        <w:rPr>
          <w:rFonts w:cs="Arial"/>
          <w:b/>
          <w:bCs/>
        </w:rPr>
      </w:pPr>
    </w:p>
    <w:p w14:paraId="0CC743A9" w14:textId="34A3FC19" w:rsidR="005D6BAB" w:rsidRDefault="005D6BAB" w:rsidP="009F4129">
      <w:pPr>
        <w:rPr>
          <w:rFonts w:cs="Arial"/>
          <w:b/>
          <w:bCs/>
          <w:sz w:val="28"/>
        </w:rPr>
      </w:pPr>
    </w:p>
    <w:p w14:paraId="120B2B38" w14:textId="5185B88B" w:rsidR="00B72493" w:rsidRDefault="00B72493" w:rsidP="009F4129">
      <w:pPr>
        <w:rPr>
          <w:rFonts w:cs="Arial"/>
          <w:b/>
          <w:bCs/>
          <w:sz w:val="28"/>
        </w:rPr>
      </w:pPr>
    </w:p>
    <w:p w14:paraId="120584FD" w14:textId="78CBA53D" w:rsidR="00B72493" w:rsidRDefault="00B72493" w:rsidP="009F4129">
      <w:pPr>
        <w:rPr>
          <w:rFonts w:cs="Arial"/>
          <w:b/>
          <w:bCs/>
          <w:sz w:val="28"/>
        </w:rPr>
      </w:pPr>
    </w:p>
    <w:p w14:paraId="4A8D2292" w14:textId="77777777" w:rsidR="005D6BAB" w:rsidRDefault="005D6BAB" w:rsidP="005D6BAB">
      <w:pPr>
        <w:rPr>
          <w:rFonts w:cs="Arial"/>
        </w:rPr>
      </w:pPr>
    </w:p>
    <w:p w14:paraId="665B6D30" w14:textId="73C8F272"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lastRenderedPageBreak/>
        <w:t>Purpose</w:t>
      </w:r>
    </w:p>
    <w:p w14:paraId="4934DA15" w14:textId="77777777" w:rsidR="00382392" w:rsidRPr="00382392" w:rsidRDefault="00382392" w:rsidP="00382392">
      <w:pPr>
        <w:spacing w:after="0"/>
      </w:pPr>
    </w:p>
    <w:p w14:paraId="189D2F61" w14:textId="55B2C5C2" w:rsidR="004E2E7B" w:rsidRDefault="005073F0" w:rsidP="004E2E7B">
      <w:pPr>
        <w:jc w:val="both"/>
      </w:pPr>
      <w:r w:rsidRPr="00253A07">
        <w:t>City of Lincoln Council</w:t>
      </w:r>
      <w:r w:rsidR="004E2E7B" w:rsidRPr="00253A07">
        <w:t xml:space="preserve"> </w:t>
      </w:r>
      <w:r w:rsidR="004E2E7B">
        <w:t xml:space="preserve">(the </w:t>
      </w:r>
      <w:r w:rsidR="004E2E7B">
        <w:rPr>
          <w:b/>
        </w:rPr>
        <w:t>Operator</w:t>
      </w:r>
      <w:r w:rsidR="004E2E7B">
        <w:t>) is committed to the prevention of opportunities for money laundering activities within its organisation.</w:t>
      </w:r>
    </w:p>
    <w:p w14:paraId="612F5C27" w14:textId="77777777" w:rsidR="004E2E7B" w:rsidRDefault="004E2E7B" w:rsidP="004E2E7B">
      <w:pPr>
        <w:jc w:val="both"/>
      </w:pPr>
      <w:r>
        <w:t>The Proceeds of Crime Act 2002 (</w:t>
      </w:r>
      <w:r>
        <w:rPr>
          <w:b/>
        </w:rPr>
        <w:t>POCA</w:t>
      </w:r>
      <w:r>
        <w:t>) and the Terrorism Act (</w:t>
      </w:r>
      <w:r>
        <w:rPr>
          <w:b/>
        </w:rPr>
        <w:t>TA 2000</w:t>
      </w:r>
      <w:r>
        <w:t>) impose obligations on persons and organisations in both the regulated and unregulated sector in relation to the reporting of money laundering or terrorist financing instances.</w:t>
      </w:r>
    </w:p>
    <w:p w14:paraId="70EF1BAE" w14:textId="77777777" w:rsidR="004E2E7B" w:rsidRDefault="004E2E7B" w:rsidP="004E2E7B">
      <w:pPr>
        <w:jc w:val="both"/>
      </w:pPr>
      <w:r>
        <w:t>In addition, the Operator is required as a licensed lottery operator to comply with the relevant sections of the Licence Conditions &amp; Codes of Practice (</w:t>
      </w:r>
      <w:r>
        <w:rPr>
          <w:b/>
        </w:rPr>
        <w:t>LCCP</w:t>
      </w:r>
      <w:r>
        <w:t>) pertaining to money laundering and terrorist financing.</w:t>
      </w:r>
    </w:p>
    <w:p w14:paraId="2005E869" w14:textId="77777777" w:rsidR="004E2E7B" w:rsidRDefault="004E2E7B" w:rsidP="004E2E7B">
      <w:pPr>
        <w:jc w:val="both"/>
      </w:pPr>
      <w:r>
        <w:t>The Operator is also committed to operating within the spirit of the licensing objectives set out in the Gambling Act 2005. The first licensing objective is particularly relevant in the context of this Policy: “</w:t>
      </w:r>
      <w:r>
        <w:rPr>
          <w:i/>
        </w:rPr>
        <w:t>preventing gambling from being a source of crime or disorder, being associated with crime or disorder or being used to support crime</w:t>
      </w:r>
      <w:r>
        <w:t>”.</w:t>
      </w:r>
    </w:p>
    <w:p w14:paraId="1DB1C3E9" w14:textId="77777777" w:rsidR="004E2E7B" w:rsidRDefault="004E2E7B" w:rsidP="004E2E7B">
      <w:pPr>
        <w:jc w:val="both"/>
      </w:pPr>
      <w:r>
        <w:t xml:space="preserve">The Operator has adopted this Policy in order to ensure effective controls and procedures in relation to money laundering, taking into account the risks posed to the Operator.  </w:t>
      </w:r>
    </w:p>
    <w:p w14:paraId="47B58B39"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Scope</w:t>
      </w:r>
    </w:p>
    <w:p w14:paraId="78A3ABAA" w14:textId="77777777" w:rsidR="00382392" w:rsidRPr="00382392" w:rsidRDefault="00382392" w:rsidP="00382392">
      <w:pPr>
        <w:spacing w:after="0"/>
      </w:pPr>
    </w:p>
    <w:p w14:paraId="1AAAF1C9" w14:textId="77777777" w:rsidR="004E2E7B" w:rsidRDefault="004E2E7B" w:rsidP="004E2E7B">
      <w:pPr>
        <w:jc w:val="both"/>
      </w:pPr>
      <w:r>
        <w:t>This Policy applies to the Operator and all of its directors, officers, employees, workers and any other personnel working for or on behalf of the Operator involved in the management and operation of the Operator’s lottery.</w:t>
      </w:r>
    </w:p>
    <w:p w14:paraId="2B0A6AF6" w14:textId="77777777" w:rsidR="004E2E7B" w:rsidRPr="0094769C" w:rsidRDefault="004E2E7B" w:rsidP="0094769C">
      <w:pPr>
        <w:pStyle w:val="Heading2"/>
        <w:numPr>
          <w:ilvl w:val="0"/>
          <w:numId w:val="0"/>
        </w:numPr>
        <w:ind w:left="431" w:hanging="431"/>
        <w:jc w:val="both"/>
        <w:rPr>
          <w:u w:val="single"/>
        </w:rPr>
      </w:pPr>
      <w:r w:rsidRPr="0094769C">
        <w:rPr>
          <w:u w:val="single"/>
        </w:rPr>
        <w:t>Anti Money Laundering Requirements</w:t>
      </w:r>
    </w:p>
    <w:p w14:paraId="49B62905"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The POCA</w:t>
      </w:r>
    </w:p>
    <w:p w14:paraId="60D8761D" w14:textId="77777777" w:rsidR="00382392" w:rsidRPr="00382392" w:rsidRDefault="00382392" w:rsidP="00382392">
      <w:pPr>
        <w:spacing w:after="0"/>
      </w:pPr>
    </w:p>
    <w:p w14:paraId="6C5093DC" w14:textId="77777777" w:rsidR="004E2E7B" w:rsidRDefault="004E2E7B" w:rsidP="004E2E7B">
      <w:pPr>
        <w:jc w:val="both"/>
      </w:pPr>
      <w:r>
        <w:t xml:space="preserve">There are three primary offences contained in the POCA relating to the direct handling of the proceeds of crime. </w:t>
      </w:r>
    </w:p>
    <w:p w14:paraId="6A45401A" w14:textId="77777777" w:rsidR="004E2E7B" w:rsidRPr="001B23DD" w:rsidRDefault="004E2E7B" w:rsidP="004E2E7B">
      <w:pPr>
        <w:numPr>
          <w:ilvl w:val="0"/>
          <w:numId w:val="46"/>
        </w:numPr>
        <w:pBdr>
          <w:top w:val="nil"/>
          <w:left w:val="nil"/>
          <w:bottom w:val="nil"/>
          <w:right w:val="nil"/>
          <w:between w:val="nil"/>
        </w:pBdr>
        <w:spacing w:before="240" w:after="0"/>
        <w:jc w:val="both"/>
        <w:rPr>
          <w:rFonts w:cs="Arial"/>
          <w:sz w:val="32"/>
          <w:szCs w:val="28"/>
        </w:rPr>
      </w:pPr>
      <w:r w:rsidRPr="001B23DD">
        <w:rPr>
          <w:rFonts w:eastAsia="Verdana" w:cs="Arial"/>
          <w:color w:val="000000"/>
          <w:szCs w:val="24"/>
        </w:rPr>
        <w:t>to conceal, disguise, convert or transfer the proceeds of crime, or remove the proceeds of crime from the UK</w:t>
      </w:r>
      <w:r w:rsidRPr="001B23DD">
        <w:rPr>
          <w:rFonts w:eastAsia="Verdana" w:cs="Arial"/>
          <w:color w:val="000000"/>
          <w:szCs w:val="24"/>
          <w:vertAlign w:val="superscript"/>
        </w:rPr>
        <w:footnoteReference w:id="2"/>
      </w:r>
      <w:r w:rsidRPr="001B23DD">
        <w:rPr>
          <w:rFonts w:eastAsia="Verdana" w:cs="Arial"/>
          <w:color w:val="000000"/>
          <w:szCs w:val="24"/>
        </w:rPr>
        <w:t>;</w:t>
      </w:r>
    </w:p>
    <w:p w14:paraId="7DB915E9" w14:textId="77777777" w:rsidR="004E2E7B" w:rsidRPr="001B23DD" w:rsidRDefault="004E2E7B" w:rsidP="004E2E7B">
      <w:pPr>
        <w:numPr>
          <w:ilvl w:val="0"/>
          <w:numId w:val="46"/>
        </w:numPr>
        <w:pBdr>
          <w:top w:val="nil"/>
          <w:left w:val="nil"/>
          <w:bottom w:val="nil"/>
          <w:right w:val="nil"/>
          <w:between w:val="nil"/>
        </w:pBdr>
        <w:spacing w:after="0"/>
        <w:jc w:val="both"/>
        <w:rPr>
          <w:rFonts w:cs="Arial"/>
          <w:sz w:val="32"/>
          <w:szCs w:val="28"/>
        </w:rPr>
      </w:pPr>
      <w:r w:rsidRPr="001B23DD">
        <w:rPr>
          <w:rFonts w:eastAsia="Verdana" w:cs="Arial"/>
          <w:color w:val="000000"/>
          <w:szCs w:val="24"/>
        </w:rPr>
        <w:t>to enter into, or become concerned in an arrangement, in which the person knows or suspects the retention, use or control of the proceeds of crime</w:t>
      </w:r>
      <w:r w:rsidRPr="001B23DD">
        <w:rPr>
          <w:rFonts w:eastAsia="Verdana" w:cs="Arial"/>
          <w:color w:val="000000"/>
          <w:szCs w:val="24"/>
          <w:vertAlign w:val="superscript"/>
        </w:rPr>
        <w:footnoteReference w:id="3"/>
      </w:r>
      <w:r w:rsidRPr="001B23DD">
        <w:rPr>
          <w:rFonts w:eastAsia="Verdana" w:cs="Arial"/>
          <w:color w:val="000000"/>
          <w:szCs w:val="24"/>
        </w:rPr>
        <w:t>; and</w:t>
      </w:r>
    </w:p>
    <w:p w14:paraId="408A7E23" w14:textId="77777777" w:rsidR="004E2E7B" w:rsidRPr="001B23DD" w:rsidRDefault="004E2E7B" w:rsidP="004E2E7B">
      <w:pPr>
        <w:numPr>
          <w:ilvl w:val="0"/>
          <w:numId w:val="46"/>
        </w:numPr>
        <w:pBdr>
          <w:top w:val="nil"/>
          <w:left w:val="nil"/>
          <w:bottom w:val="nil"/>
          <w:right w:val="nil"/>
          <w:between w:val="nil"/>
        </w:pBdr>
        <w:spacing w:after="0"/>
        <w:jc w:val="both"/>
        <w:rPr>
          <w:rFonts w:cs="Arial"/>
          <w:sz w:val="32"/>
          <w:szCs w:val="28"/>
        </w:rPr>
      </w:pPr>
      <w:r w:rsidRPr="001B23DD">
        <w:rPr>
          <w:rFonts w:eastAsia="Verdana" w:cs="Arial"/>
          <w:color w:val="000000"/>
          <w:szCs w:val="24"/>
        </w:rPr>
        <w:t>to acquire, use or possess the proceeds of crime</w:t>
      </w:r>
      <w:r w:rsidRPr="001B23DD">
        <w:rPr>
          <w:rFonts w:eastAsia="Verdana" w:cs="Arial"/>
          <w:color w:val="000000"/>
          <w:szCs w:val="24"/>
          <w:vertAlign w:val="superscript"/>
        </w:rPr>
        <w:footnoteReference w:id="4"/>
      </w:r>
      <w:r w:rsidRPr="001B23DD">
        <w:rPr>
          <w:rFonts w:eastAsia="Verdana" w:cs="Arial"/>
          <w:color w:val="000000"/>
          <w:szCs w:val="24"/>
        </w:rPr>
        <w:t>.</w:t>
      </w:r>
    </w:p>
    <w:p w14:paraId="50430910" w14:textId="77777777" w:rsidR="001B23DD" w:rsidRDefault="001B23DD" w:rsidP="004E2E7B">
      <w:pPr>
        <w:jc w:val="both"/>
      </w:pPr>
    </w:p>
    <w:p w14:paraId="1C15CD2C" w14:textId="40427303" w:rsidR="004E2E7B" w:rsidRDefault="004E2E7B" w:rsidP="004E2E7B">
      <w:pPr>
        <w:jc w:val="both"/>
      </w:pPr>
      <w:r>
        <w:t>These offences can be committed by any person or organisation.</w:t>
      </w:r>
    </w:p>
    <w:p w14:paraId="0B6CDD44" w14:textId="77777777" w:rsidR="004E2E7B" w:rsidRDefault="004E2E7B" w:rsidP="004E2E7B">
      <w:pPr>
        <w:jc w:val="both"/>
      </w:pPr>
      <w:r>
        <w:lastRenderedPageBreak/>
        <w:t>The POCA also contains offences in relation to the failure to disclose the suspicion of money laundering and  ‘tipping off’, however these offences only apply to organisations within the regulated sector. The Operator is not within the regulated sector for the purposes of the POCA.</w:t>
      </w:r>
    </w:p>
    <w:p w14:paraId="6A7129BB"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The TA 2000</w:t>
      </w:r>
    </w:p>
    <w:p w14:paraId="34193A19" w14:textId="77777777" w:rsidR="0094769C" w:rsidRPr="0094769C" w:rsidRDefault="0094769C" w:rsidP="0094769C">
      <w:pPr>
        <w:spacing w:after="0"/>
      </w:pPr>
    </w:p>
    <w:p w14:paraId="125AD556" w14:textId="77777777" w:rsidR="004E2E7B" w:rsidRDefault="004E2E7B" w:rsidP="004E2E7B">
      <w:pPr>
        <w:jc w:val="both"/>
      </w:pPr>
      <w:r>
        <w:t>The offences within the TA 2000 relating to the handling of money or other property intended to be used for the purposes of terrorism are:</w:t>
      </w:r>
    </w:p>
    <w:p w14:paraId="41B6F505" w14:textId="77777777" w:rsidR="004E2E7B" w:rsidRPr="00533E68" w:rsidRDefault="004E2E7B" w:rsidP="004E2E7B">
      <w:pPr>
        <w:numPr>
          <w:ilvl w:val="0"/>
          <w:numId w:val="48"/>
        </w:numPr>
        <w:pBdr>
          <w:top w:val="nil"/>
          <w:left w:val="nil"/>
          <w:bottom w:val="nil"/>
          <w:right w:val="nil"/>
          <w:between w:val="nil"/>
        </w:pBdr>
        <w:spacing w:before="240" w:after="0"/>
        <w:jc w:val="both"/>
        <w:rPr>
          <w:rFonts w:cs="Arial"/>
          <w:sz w:val="32"/>
          <w:szCs w:val="28"/>
        </w:rPr>
      </w:pPr>
      <w:r w:rsidRPr="00533E68">
        <w:rPr>
          <w:rFonts w:eastAsia="Verdana" w:cs="Arial"/>
          <w:color w:val="000000"/>
          <w:szCs w:val="24"/>
        </w:rPr>
        <w:t>to receive (or invite the receipt of), provide or use any money or other property which is intended to be used, or the person has reasonable cause to suspect that it may be used, for the purpose of terrorism</w:t>
      </w:r>
      <w:r w:rsidRPr="00533E68">
        <w:rPr>
          <w:rFonts w:eastAsia="Verdana" w:cs="Arial"/>
          <w:color w:val="000000"/>
          <w:szCs w:val="24"/>
          <w:vertAlign w:val="superscript"/>
        </w:rPr>
        <w:footnoteReference w:id="5"/>
      </w:r>
      <w:r w:rsidRPr="00533E68">
        <w:rPr>
          <w:rFonts w:eastAsia="Verdana" w:cs="Arial"/>
          <w:color w:val="000000"/>
          <w:szCs w:val="24"/>
        </w:rPr>
        <w:t>;</w:t>
      </w:r>
    </w:p>
    <w:p w14:paraId="22E2A42C" w14:textId="77777777" w:rsidR="004E2E7B" w:rsidRPr="00533E68" w:rsidRDefault="004E2E7B" w:rsidP="004E2E7B">
      <w:pPr>
        <w:numPr>
          <w:ilvl w:val="0"/>
          <w:numId w:val="48"/>
        </w:numPr>
        <w:pBdr>
          <w:top w:val="nil"/>
          <w:left w:val="nil"/>
          <w:bottom w:val="nil"/>
          <w:right w:val="nil"/>
          <w:between w:val="nil"/>
        </w:pBdr>
        <w:spacing w:after="0"/>
        <w:jc w:val="both"/>
        <w:rPr>
          <w:rFonts w:cs="Arial"/>
          <w:sz w:val="32"/>
          <w:szCs w:val="28"/>
        </w:rPr>
      </w:pPr>
      <w:r w:rsidRPr="00533E68">
        <w:rPr>
          <w:rFonts w:eastAsia="Verdana" w:cs="Arial"/>
          <w:color w:val="000000"/>
          <w:szCs w:val="24"/>
        </w:rPr>
        <w:t>to enter into, or become concerned in an arrangement, in which the person knows or suspects it will be used for the purpose of terrorism</w:t>
      </w:r>
      <w:r w:rsidRPr="00533E68">
        <w:rPr>
          <w:rFonts w:eastAsia="Verdana" w:cs="Arial"/>
          <w:color w:val="000000"/>
          <w:szCs w:val="24"/>
          <w:vertAlign w:val="superscript"/>
        </w:rPr>
        <w:footnoteReference w:id="6"/>
      </w:r>
      <w:r w:rsidRPr="00533E68">
        <w:rPr>
          <w:rFonts w:eastAsia="Verdana" w:cs="Arial"/>
          <w:color w:val="000000"/>
          <w:szCs w:val="24"/>
        </w:rPr>
        <w:t>; and</w:t>
      </w:r>
    </w:p>
    <w:p w14:paraId="6BC10047" w14:textId="77777777" w:rsidR="004E2E7B" w:rsidRPr="00533E68" w:rsidRDefault="004E2E7B" w:rsidP="004E2E7B">
      <w:pPr>
        <w:numPr>
          <w:ilvl w:val="0"/>
          <w:numId w:val="48"/>
        </w:numPr>
        <w:pBdr>
          <w:top w:val="nil"/>
          <w:left w:val="nil"/>
          <w:bottom w:val="nil"/>
          <w:right w:val="nil"/>
          <w:between w:val="nil"/>
        </w:pBdr>
        <w:spacing w:after="0"/>
        <w:jc w:val="both"/>
        <w:rPr>
          <w:rFonts w:cs="Arial"/>
          <w:sz w:val="32"/>
          <w:szCs w:val="28"/>
        </w:rPr>
      </w:pPr>
      <w:r w:rsidRPr="00533E68">
        <w:rPr>
          <w:rFonts w:eastAsia="Verdana" w:cs="Arial"/>
          <w:color w:val="000000"/>
          <w:szCs w:val="24"/>
        </w:rPr>
        <w:t>to conceal, transfer or remove from the UK any money or other property which is intended to be used, or the person has reasonable cause to suspect that it may be used, for the purpose of terrorism</w:t>
      </w:r>
      <w:r w:rsidRPr="00533E68">
        <w:rPr>
          <w:rFonts w:eastAsia="Verdana" w:cs="Arial"/>
          <w:color w:val="000000"/>
          <w:szCs w:val="24"/>
          <w:vertAlign w:val="superscript"/>
        </w:rPr>
        <w:footnoteReference w:id="7"/>
      </w:r>
      <w:r w:rsidRPr="00533E68">
        <w:rPr>
          <w:rFonts w:eastAsia="Verdana" w:cs="Arial"/>
          <w:color w:val="000000"/>
          <w:szCs w:val="24"/>
        </w:rPr>
        <w:t>.</w:t>
      </w:r>
    </w:p>
    <w:p w14:paraId="1ECB015C" w14:textId="77777777" w:rsidR="00533E68" w:rsidRDefault="00533E68" w:rsidP="00533E68">
      <w:pPr>
        <w:pBdr>
          <w:top w:val="nil"/>
          <w:left w:val="nil"/>
          <w:bottom w:val="nil"/>
          <w:right w:val="nil"/>
          <w:between w:val="nil"/>
        </w:pBdr>
        <w:spacing w:after="0"/>
        <w:ind w:left="720"/>
        <w:jc w:val="both"/>
      </w:pPr>
    </w:p>
    <w:p w14:paraId="66348AE4" w14:textId="77777777" w:rsidR="004E2E7B" w:rsidRDefault="004E2E7B" w:rsidP="004E2E7B">
      <w:pPr>
        <w:jc w:val="both"/>
      </w:pPr>
      <w:r>
        <w:t>As with the primary offences under POCA, these offences can be committed by any person or organisation.</w:t>
      </w:r>
    </w:p>
    <w:p w14:paraId="08C14AA3"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The LCCP</w:t>
      </w:r>
    </w:p>
    <w:p w14:paraId="5CCE7656" w14:textId="77777777" w:rsidR="00AE1C9E" w:rsidRPr="00AE1C9E" w:rsidRDefault="00AE1C9E" w:rsidP="00AE1C9E">
      <w:pPr>
        <w:spacing w:after="0"/>
      </w:pPr>
    </w:p>
    <w:p w14:paraId="7A5901B7" w14:textId="77777777" w:rsidR="004E2E7B" w:rsidRDefault="004E2E7B" w:rsidP="00AE1C9E">
      <w:pPr>
        <w:spacing w:after="0"/>
        <w:jc w:val="both"/>
      </w:pPr>
      <w:r>
        <w:t>The Operator is a licensed lottery operator and therefore is required to comply with the LCCP. The relevant sections of the LCCP pertaining to money laundering and terrorist financing are:</w:t>
      </w:r>
    </w:p>
    <w:p w14:paraId="43A3B3A7" w14:textId="77777777" w:rsidR="004E2E7B" w:rsidRDefault="004E2E7B" w:rsidP="00AE1C9E">
      <w:pPr>
        <w:pBdr>
          <w:top w:val="nil"/>
          <w:left w:val="nil"/>
          <w:bottom w:val="nil"/>
          <w:right w:val="nil"/>
          <w:between w:val="nil"/>
        </w:pBdr>
        <w:spacing w:after="0"/>
        <w:jc w:val="both"/>
      </w:pPr>
    </w:p>
    <w:tbl>
      <w:tblPr>
        <w:tblW w:w="8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3880"/>
        <w:gridCol w:w="3350"/>
      </w:tblGrid>
      <w:tr w:rsidR="004E2E7B" w14:paraId="1B26594A" w14:textId="77777777" w:rsidTr="00F1452A">
        <w:trPr>
          <w:tblHeader/>
        </w:trPr>
        <w:tc>
          <w:tcPr>
            <w:tcW w:w="1644" w:type="dxa"/>
            <w:shd w:val="clear" w:color="auto" w:fill="D9D9D9" w:themeFill="background1" w:themeFillShade="D9"/>
          </w:tcPr>
          <w:p w14:paraId="7A2FF657" w14:textId="77777777" w:rsidR="004E2E7B" w:rsidRDefault="004E2E7B" w:rsidP="00A65308">
            <w:pPr>
              <w:rPr>
                <w:b/>
              </w:rPr>
            </w:pPr>
            <w:r>
              <w:rPr>
                <w:b/>
              </w:rPr>
              <w:t>LCCP Condition</w:t>
            </w:r>
          </w:p>
        </w:tc>
        <w:tc>
          <w:tcPr>
            <w:tcW w:w="3880" w:type="dxa"/>
            <w:shd w:val="clear" w:color="auto" w:fill="D9D9D9" w:themeFill="background1" w:themeFillShade="D9"/>
          </w:tcPr>
          <w:p w14:paraId="1D0A5E4B" w14:textId="77777777" w:rsidR="004E2E7B" w:rsidRDefault="004E2E7B" w:rsidP="00A65308">
            <w:pPr>
              <w:rPr>
                <w:b/>
              </w:rPr>
            </w:pPr>
            <w:r>
              <w:rPr>
                <w:b/>
              </w:rPr>
              <w:t>LCCP Requirement</w:t>
            </w:r>
          </w:p>
        </w:tc>
        <w:tc>
          <w:tcPr>
            <w:tcW w:w="3350" w:type="dxa"/>
            <w:shd w:val="clear" w:color="auto" w:fill="D9D9D9" w:themeFill="background1" w:themeFillShade="D9"/>
          </w:tcPr>
          <w:p w14:paraId="31D0324C" w14:textId="77777777" w:rsidR="004E2E7B" w:rsidRDefault="004E2E7B" w:rsidP="00A65308">
            <w:pPr>
              <w:rPr>
                <w:b/>
              </w:rPr>
            </w:pPr>
            <w:r>
              <w:rPr>
                <w:b/>
              </w:rPr>
              <w:t>How the Operator satisfies this requirement</w:t>
            </w:r>
          </w:p>
        </w:tc>
      </w:tr>
      <w:tr w:rsidR="004E2E7B" w14:paraId="496F07D8" w14:textId="77777777" w:rsidTr="000E284C">
        <w:tc>
          <w:tcPr>
            <w:tcW w:w="1644" w:type="dxa"/>
          </w:tcPr>
          <w:p w14:paraId="293C30E5" w14:textId="77777777" w:rsidR="004E2E7B" w:rsidRDefault="004E2E7B" w:rsidP="00A65308">
            <w:r>
              <w:t>12.1.1</w:t>
            </w:r>
          </w:p>
        </w:tc>
        <w:tc>
          <w:tcPr>
            <w:tcW w:w="3880" w:type="dxa"/>
          </w:tcPr>
          <w:p w14:paraId="052C7FD6" w14:textId="77777777" w:rsidR="004E2E7B" w:rsidRDefault="004E2E7B" w:rsidP="00A65308">
            <w:r>
              <w:t>The Operator must conduct an assessment of the risks of its business being used for money laundering and terrorist financing.</w:t>
            </w:r>
          </w:p>
        </w:tc>
        <w:tc>
          <w:tcPr>
            <w:tcW w:w="3350" w:type="dxa"/>
          </w:tcPr>
          <w:p w14:paraId="1730E287" w14:textId="77777777" w:rsidR="004E2E7B" w:rsidRDefault="004E2E7B" w:rsidP="00A65308">
            <w:r>
              <w:t>The Operator carries out an annual money laundering risk assessment, as set out in this Policy.</w:t>
            </w:r>
          </w:p>
        </w:tc>
      </w:tr>
      <w:tr w:rsidR="004E2E7B" w14:paraId="4FE033F5" w14:textId="77777777" w:rsidTr="000E284C">
        <w:tc>
          <w:tcPr>
            <w:tcW w:w="1644" w:type="dxa"/>
          </w:tcPr>
          <w:p w14:paraId="438CC927" w14:textId="77777777" w:rsidR="004E2E7B" w:rsidRDefault="004E2E7B" w:rsidP="00A65308">
            <w:r>
              <w:t>12.1.1</w:t>
            </w:r>
          </w:p>
        </w:tc>
        <w:tc>
          <w:tcPr>
            <w:tcW w:w="3880" w:type="dxa"/>
          </w:tcPr>
          <w:p w14:paraId="0B0DB54A" w14:textId="77777777" w:rsidR="004E2E7B" w:rsidRDefault="004E2E7B" w:rsidP="00A65308">
            <w:r>
              <w:t>The Operator must have appropriate policies, procedures and controls to prevent money laundering and terrorist financing.</w:t>
            </w:r>
          </w:p>
        </w:tc>
        <w:tc>
          <w:tcPr>
            <w:tcW w:w="3350" w:type="dxa"/>
          </w:tcPr>
          <w:p w14:paraId="27F07C60" w14:textId="77777777" w:rsidR="004E2E7B" w:rsidRDefault="004E2E7B" w:rsidP="00A65308">
            <w:r>
              <w:t>The Operator has implemented this Policy to ensure effective controls and procedures in relation to money laundering.</w:t>
            </w:r>
          </w:p>
        </w:tc>
      </w:tr>
      <w:tr w:rsidR="004E2E7B" w14:paraId="020843E4" w14:textId="77777777" w:rsidTr="000E284C">
        <w:tc>
          <w:tcPr>
            <w:tcW w:w="1644" w:type="dxa"/>
          </w:tcPr>
          <w:p w14:paraId="673629F9" w14:textId="77777777" w:rsidR="004E2E7B" w:rsidRDefault="004E2E7B" w:rsidP="00A65308">
            <w:r>
              <w:t>12.1.1</w:t>
            </w:r>
          </w:p>
        </w:tc>
        <w:tc>
          <w:tcPr>
            <w:tcW w:w="3880" w:type="dxa"/>
          </w:tcPr>
          <w:p w14:paraId="23F52BD9" w14:textId="77777777" w:rsidR="004E2E7B" w:rsidRDefault="004E2E7B" w:rsidP="00A65308">
            <w:r>
              <w:t xml:space="preserve">The Operator must ensure that its policies, procedures and controls </w:t>
            </w:r>
            <w:r>
              <w:lastRenderedPageBreak/>
              <w:t>are implemented effectively, kept under review, revised appropriately to ensure that they remain effective, and take into account any applicable learning or guidelines published by the Gambling Commission from time to time.</w:t>
            </w:r>
          </w:p>
        </w:tc>
        <w:tc>
          <w:tcPr>
            <w:tcW w:w="3350" w:type="dxa"/>
          </w:tcPr>
          <w:p w14:paraId="0F9FD703" w14:textId="77777777" w:rsidR="004E2E7B" w:rsidRDefault="004E2E7B" w:rsidP="00A65308">
            <w:r>
              <w:lastRenderedPageBreak/>
              <w:t xml:space="preserve">The Operator will review this Policy, together with the </w:t>
            </w:r>
            <w:r>
              <w:lastRenderedPageBreak/>
              <w:t>controls and procedures hereunder, not less than once per year. An ad hoc review of this Policy may be required from time to time in case of, for example, a change in the law or if new guidance is issued by the Gambling Commission.</w:t>
            </w:r>
          </w:p>
        </w:tc>
      </w:tr>
      <w:tr w:rsidR="004E2E7B" w14:paraId="7EFFB9CF" w14:textId="77777777" w:rsidTr="000E284C">
        <w:tc>
          <w:tcPr>
            <w:tcW w:w="1644" w:type="dxa"/>
          </w:tcPr>
          <w:p w14:paraId="12214557" w14:textId="77777777" w:rsidR="004E2E7B" w:rsidRDefault="004E2E7B" w:rsidP="00A65308">
            <w:r>
              <w:lastRenderedPageBreak/>
              <w:t>15.2.1 (4c)</w:t>
            </w:r>
          </w:p>
        </w:tc>
        <w:tc>
          <w:tcPr>
            <w:tcW w:w="3880" w:type="dxa"/>
          </w:tcPr>
          <w:p w14:paraId="216DE756" w14:textId="77777777" w:rsidR="004E2E7B" w:rsidRDefault="004E2E7B" w:rsidP="00A65308">
            <w:r>
              <w:t>The Operator is required to report the appointment or change of the person which has overall responsibility for the Operator’s anti-money laundering and/or terrorist financing compliance, and/or for the reporting of known or suspected money laundering or terrorist financing activity.</w:t>
            </w:r>
          </w:p>
        </w:tc>
        <w:tc>
          <w:tcPr>
            <w:tcW w:w="3350" w:type="dxa"/>
          </w:tcPr>
          <w:p w14:paraId="105098B9" w14:textId="77777777" w:rsidR="004E2E7B" w:rsidRDefault="004E2E7B" w:rsidP="00A65308">
            <w:r>
              <w:t xml:space="preserve">The Operator has appointed a Money Laundering Reporting Officer and will notify the Gambling Commission of any change in the person holding this position. </w:t>
            </w:r>
          </w:p>
        </w:tc>
      </w:tr>
      <w:tr w:rsidR="004E2E7B" w14:paraId="4CD968A0" w14:textId="77777777" w:rsidTr="000E284C">
        <w:tc>
          <w:tcPr>
            <w:tcW w:w="1644" w:type="dxa"/>
          </w:tcPr>
          <w:p w14:paraId="33883AC7" w14:textId="77777777" w:rsidR="004E2E7B" w:rsidRDefault="004E2E7B" w:rsidP="00A65308">
            <w:r>
              <w:t>15.2.2 (1d)</w:t>
            </w:r>
          </w:p>
        </w:tc>
        <w:tc>
          <w:tcPr>
            <w:tcW w:w="3880" w:type="dxa"/>
          </w:tcPr>
          <w:p w14:paraId="0C43B272" w14:textId="77777777" w:rsidR="004E2E7B" w:rsidRDefault="004E2E7B" w:rsidP="00A65308">
            <w:r>
              <w:t>The Operator is required to report any actual or potential breaches of the requirements imposed under Parts 7 &amp; 8 of the POCA or Part 3 of the TA 2000.</w:t>
            </w:r>
          </w:p>
        </w:tc>
        <w:tc>
          <w:tcPr>
            <w:tcW w:w="3350" w:type="dxa"/>
          </w:tcPr>
          <w:p w14:paraId="1C218433" w14:textId="77777777" w:rsidR="004E2E7B" w:rsidRDefault="004E2E7B" w:rsidP="00A65308">
            <w:r>
              <w:t>The Operator has implemented a reporting procedure in this Policy.</w:t>
            </w:r>
          </w:p>
        </w:tc>
      </w:tr>
    </w:tbl>
    <w:p w14:paraId="4B8FA2A2" w14:textId="77777777" w:rsidR="004E2E7B" w:rsidRPr="0094769C" w:rsidRDefault="004E2E7B" w:rsidP="0094769C">
      <w:pPr>
        <w:pStyle w:val="Heading2"/>
        <w:numPr>
          <w:ilvl w:val="0"/>
          <w:numId w:val="0"/>
        </w:numPr>
        <w:ind w:left="431" w:hanging="431"/>
        <w:jc w:val="both"/>
        <w:rPr>
          <w:u w:val="single"/>
        </w:rPr>
      </w:pPr>
      <w:r w:rsidRPr="0094769C">
        <w:rPr>
          <w:u w:val="single"/>
        </w:rPr>
        <w:t>Risk Assessment</w:t>
      </w:r>
    </w:p>
    <w:p w14:paraId="605EF8E4"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Risk areas</w:t>
      </w:r>
    </w:p>
    <w:p w14:paraId="367F2D14" w14:textId="77777777" w:rsidR="004E2E7B" w:rsidRDefault="004E2E7B" w:rsidP="00A65308">
      <w:pPr>
        <w:pBdr>
          <w:top w:val="nil"/>
          <w:left w:val="nil"/>
          <w:bottom w:val="nil"/>
          <w:right w:val="nil"/>
          <w:between w:val="nil"/>
        </w:pBdr>
        <w:spacing w:after="0"/>
        <w:jc w:val="both"/>
      </w:pPr>
    </w:p>
    <w:p w14:paraId="089DE432" w14:textId="6E0ABB7C" w:rsidR="004E2E7B" w:rsidRDefault="004E2E7B" w:rsidP="00A65308">
      <w:pPr>
        <w:pBdr>
          <w:top w:val="nil"/>
          <w:left w:val="nil"/>
          <w:bottom w:val="nil"/>
          <w:right w:val="nil"/>
          <w:between w:val="nil"/>
        </w:pBdr>
        <w:jc w:val="both"/>
      </w:pPr>
      <w:r>
        <w:t>The Operator has identified the money laundering risks posed to its organisation as falling within two key areas:</w:t>
      </w:r>
    </w:p>
    <w:p w14:paraId="611BC11D" w14:textId="12468D0C" w:rsidR="004E2E7B" w:rsidRDefault="004E2E7B" w:rsidP="004E2E7B">
      <w:pPr>
        <w:numPr>
          <w:ilvl w:val="0"/>
          <w:numId w:val="47"/>
        </w:numPr>
        <w:pBdr>
          <w:top w:val="nil"/>
          <w:left w:val="nil"/>
          <w:bottom w:val="nil"/>
          <w:right w:val="nil"/>
          <w:between w:val="nil"/>
        </w:pBdr>
        <w:spacing w:after="0"/>
        <w:jc w:val="both"/>
        <w:rPr>
          <w:rFonts w:cs="Arial"/>
          <w:szCs w:val="24"/>
        </w:rPr>
      </w:pPr>
      <w:r w:rsidRPr="00A65308">
        <w:rPr>
          <w:rFonts w:eastAsia="Verdana" w:cs="Arial"/>
          <w:color w:val="000000"/>
          <w:szCs w:val="24"/>
        </w:rPr>
        <w:t xml:space="preserve">Criminal laundering of money through the purchase of tickets on </w:t>
      </w:r>
      <w:r w:rsidRPr="00A65308">
        <w:rPr>
          <w:rFonts w:cs="Arial"/>
          <w:szCs w:val="24"/>
        </w:rPr>
        <w:t>the Operator’s lottery website</w:t>
      </w:r>
      <w:r w:rsidRPr="00A65308">
        <w:rPr>
          <w:rFonts w:eastAsia="Verdana" w:cs="Arial"/>
          <w:color w:val="000000"/>
          <w:szCs w:val="24"/>
        </w:rPr>
        <w:t xml:space="preserve"> and subsequent winnings from draws to be taken as laundered money.</w:t>
      </w:r>
    </w:p>
    <w:p w14:paraId="2759E4C3" w14:textId="77777777" w:rsidR="00374B27" w:rsidRPr="00A65308" w:rsidRDefault="00374B27" w:rsidP="00374B27">
      <w:pPr>
        <w:pBdr>
          <w:top w:val="nil"/>
          <w:left w:val="nil"/>
          <w:bottom w:val="nil"/>
          <w:right w:val="nil"/>
          <w:between w:val="nil"/>
        </w:pBdr>
        <w:spacing w:after="0"/>
        <w:ind w:left="720"/>
        <w:jc w:val="both"/>
        <w:rPr>
          <w:rFonts w:cs="Arial"/>
          <w:szCs w:val="24"/>
        </w:rPr>
      </w:pPr>
    </w:p>
    <w:p w14:paraId="00CC4FD4" w14:textId="77777777" w:rsidR="004E2E7B" w:rsidRPr="00374B27" w:rsidRDefault="004E2E7B" w:rsidP="004E2E7B">
      <w:pPr>
        <w:numPr>
          <w:ilvl w:val="0"/>
          <w:numId w:val="47"/>
        </w:numPr>
        <w:pBdr>
          <w:top w:val="nil"/>
          <w:left w:val="nil"/>
          <w:bottom w:val="nil"/>
          <w:right w:val="nil"/>
          <w:between w:val="nil"/>
        </w:pBdr>
        <w:spacing w:after="0"/>
        <w:jc w:val="both"/>
        <w:rPr>
          <w:rFonts w:cs="Arial"/>
          <w:szCs w:val="24"/>
        </w:rPr>
      </w:pPr>
      <w:r w:rsidRPr="00A65308">
        <w:rPr>
          <w:rFonts w:eastAsia="Verdana" w:cs="Arial"/>
          <w:color w:val="000000"/>
          <w:szCs w:val="24"/>
        </w:rPr>
        <w:t xml:space="preserve">False registration and representation of good causes on </w:t>
      </w:r>
      <w:r w:rsidRPr="00A65308">
        <w:rPr>
          <w:rFonts w:cs="Arial"/>
          <w:szCs w:val="24"/>
        </w:rPr>
        <w:t>the Operator’s lottery website</w:t>
      </w:r>
      <w:r w:rsidRPr="00A65308">
        <w:rPr>
          <w:rFonts w:eastAsia="Verdana" w:cs="Arial"/>
          <w:color w:val="000000"/>
          <w:szCs w:val="24"/>
        </w:rPr>
        <w:t xml:space="preserve">, where tickets are purchased using illegally acquired funds in order to be extracted through the false </w:t>
      </w:r>
      <w:proofErr w:type="spellStart"/>
      <w:r w:rsidRPr="00A65308">
        <w:rPr>
          <w:rFonts w:eastAsia="Verdana" w:cs="Arial"/>
          <w:color w:val="000000"/>
          <w:szCs w:val="24"/>
        </w:rPr>
        <w:t>pretense</w:t>
      </w:r>
      <w:proofErr w:type="spellEnd"/>
      <w:r w:rsidRPr="00A65308">
        <w:rPr>
          <w:rFonts w:eastAsia="Verdana" w:cs="Arial"/>
          <w:color w:val="000000"/>
          <w:szCs w:val="24"/>
        </w:rPr>
        <w:t xml:space="preserve"> of funds raised for a good cause.</w:t>
      </w:r>
    </w:p>
    <w:p w14:paraId="159F02EC" w14:textId="77777777" w:rsidR="00374B27" w:rsidRPr="00A65308" w:rsidRDefault="00374B27" w:rsidP="00374B27">
      <w:pPr>
        <w:pBdr>
          <w:top w:val="nil"/>
          <w:left w:val="nil"/>
          <w:bottom w:val="nil"/>
          <w:right w:val="nil"/>
          <w:between w:val="nil"/>
        </w:pBdr>
        <w:spacing w:after="0"/>
        <w:jc w:val="both"/>
        <w:rPr>
          <w:rFonts w:cs="Arial"/>
          <w:szCs w:val="24"/>
        </w:rPr>
      </w:pPr>
    </w:p>
    <w:p w14:paraId="391F26C6"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Mitigation</w:t>
      </w:r>
    </w:p>
    <w:p w14:paraId="7B1F3A97" w14:textId="77777777" w:rsidR="004E2E7B" w:rsidRDefault="004E2E7B" w:rsidP="00374B27">
      <w:pPr>
        <w:pBdr>
          <w:top w:val="nil"/>
          <w:left w:val="nil"/>
          <w:bottom w:val="nil"/>
          <w:right w:val="nil"/>
          <w:between w:val="nil"/>
        </w:pBdr>
        <w:spacing w:after="0"/>
        <w:jc w:val="both"/>
      </w:pPr>
    </w:p>
    <w:p w14:paraId="7817B527" w14:textId="77777777" w:rsidR="004E2E7B" w:rsidRDefault="004E2E7B" w:rsidP="004E2E7B">
      <w:pPr>
        <w:pBdr>
          <w:top w:val="nil"/>
          <w:left w:val="nil"/>
          <w:bottom w:val="nil"/>
          <w:right w:val="nil"/>
          <w:between w:val="nil"/>
        </w:pBdr>
        <w:jc w:val="both"/>
      </w:pPr>
      <w:r>
        <w:t>The Operator operates in  a way that mitigates the risk of money laundering within its organisation. The controls listed below act as effective mitigation against money laundering:</w:t>
      </w:r>
    </w:p>
    <w:tbl>
      <w:tblPr>
        <w:tblW w:w="8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036"/>
      </w:tblGrid>
      <w:tr w:rsidR="004E2E7B" w14:paraId="3142CF5F" w14:textId="77777777" w:rsidTr="00F1452A">
        <w:trPr>
          <w:tblHeader/>
        </w:trPr>
        <w:tc>
          <w:tcPr>
            <w:tcW w:w="1838" w:type="dxa"/>
            <w:shd w:val="clear" w:color="auto" w:fill="D9D9D9" w:themeFill="background1" w:themeFillShade="D9"/>
          </w:tcPr>
          <w:p w14:paraId="1289AB8A" w14:textId="77777777" w:rsidR="004E2E7B" w:rsidRDefault="004E2E7B" w:rsidP="000E284C">
            <w:pPr>
              <w:jc w:val="both"/>
              <w:rPr>
                <w:b/>
              </w:rPr>
            </w:pPr>
            <w:r>
              <w:rPr>
                <w:b/>
              </w:rPr>
              <w:lastRenderedPageBreak/>
              <w:t>Risk area</w:t>
            </w:r>
          </w:p>
        </w:tc>
        <w:tc>
          <w:tcPr>
            <w:tcW w:w="7036" w:type="dxa"/>
            <w:shd w:val="clear" w:color="auto" w:fill="D9D9D9" w:themeFill="background1" w:themeFillShade="D9"/>
          </w:tcPr>
          <w:p w14:paraId="46868255" w14:textId="77777777" w:rsidR="004E2E7B" w:rsidRDefault="004E2E7B" w:rsidP="000E284C">
            <w:pPr>
              <w:jc w:val="both"/>
              <w:rPr>
                <w:b/>
              </w:rPr>
            </w:pPr>
            <w:r>
              <w:rPr>
                <w:b/>
              </w:rPr>
              <w:t>Mitigation</w:t>
            </w:r>
          </w:p>
        </w:tc>
      </w:tr>
      <w:tr w:rsidR="004E2E7B" w14:paraId="758E7824" w14:textId="77777777" w:rsidTr="000E284C">
        <w:tc>
          <w:tcPr>
            <w:tcW w:w="1838" w:type="dxa"/>
          </w:tcPr>
          <w:p w14:paraId="6B1A36D7" w14:textId="77777777" w:rsidR="004E2E7B" w:rsidRDefault="004E2E7B" w:rsidP="00132634">
            <w:r>
              <w:t>Customer identification</w:t>
            </w:r>
          </w:p>
        </w:tc>
        <w:tc>
          <w:tcPr>
            <w:tcW w:w="7036" w:type="dxa"/>
          </w:tcPr>
          <w:p w14:paraId="6BD56B9E" w14:textId="1260574C" w:rsidR="004E2E7B" w:rsidRDefault="004E2E7B" w:rsidP="00132634">
            <w:r>
              <w:t>All users must provide their full name, address, email address and date of birth in order to register an account on the Operator’s lottery website.</w:t>
            </w:r>
          </w:p>
        </w:tc>
      </w:tr>
      <w:tr w:rsidR="004E2E7B" w14:paraId="27E34CDB" w14:textId="77777777" w:rsidTr="000E284C">
        <w:tc>
          <w:tcPr>
            <w:tcW w:w="1838" w:type="dxa"/>
          </w:tcPr>
          <w:p w14:paraId="75A40512" w14:textId="77777777" w:rsidR="004E2E7B" w:rsidRDefault="004E2E7B" w:rsidP="00132634">
            <w:r>
              <w:t>Method of payment</w:t>
            </w:r>
          </w:p>
        </w:tc>
        <w:tc>
          <w:tcPr>
            <w:tcW w:w="7036" w:type="dxa"/>
          </w:tcPr>
          <w:p w14:paraId="72EA76FA" w14:textId="7915953A" w:rsidR="004E2E7B" w:rsidRDefault="004E2E7B" w:rsidP="00132634">
            <w:r>
              <w:t>The Operator’s accepted payment methods are by direct debit or debit card. Cash payments are not accepted, which eliminates the risk of counterfeit money passing through the Operator.</w:t>
            </w:r>
          </w:p>
        </w:tc>
      </w:tr>
      <w:tr w:rsidR="004E2E7B" w14:paraId="0FFF0FC9" w14:textId="77777777" w:rsidTr="000E284C">
        <w:tc>
          <w:tcPr>
            <w:tcW w:w="1838" w:type="dxa"/>
          </w:tcPr>
          <w:p w14:paraId="56084719" w14:textId="77777777" w:rsidR="004E2E7B" w:rsidRDefault="004E2E7B" w:rsidP="00132634">
            <w:r>
              <w:t>Lottery draws</w:t>
            </w:r>
          </w:p>
        </w:tc>
        <w:tc>
          <w:tcPr>
            <w:tcW w:w="7036" w:type="dxa"/>
          </w:tcPr>
          <w:p w14:paraId="090B4267" w14:textId="5E2745CF" w:rsidR="004E2E7B" w:rsidRDefault="004E2E7B" w:rsidP="00132634">
            <w:r>
              <w:t xml:space="preserve">To minimise the risk of fraudulent behaviour and demonstrate impartiality, the main lottery draw each week takes the results from an independently drawn lottery. This ensures no fraudulent activity can be taken in the generation of the winning set of numbers for the draw. The smaller local level prizes are generated based on a random ticket selection using the online resource </w:t>
            </w:r>
            <w:hyperlink r:id="rId12">
              <w:r>
                <w:rPr>
                  <w:color w:val="1155CC"/>
                  <w:u w:val="single"/>
                </w:rPr>
                <w:t>http://www.random.org/who</w:t>
              </w:r>
            </w:hyperlink>
            <w:r>
              <w:t>, which is independently verified for its random number generation using atmospheric noise.</w:t>
            </w:r>
          </w:p>
        </w:tc>
      </w:tr>
      <w:tr w:rsidR="004E2E7B" w14:paraId="5F008F94" w14:textId="77777777" w:rsidTr="000E284C">
        <w:tc>
          <w:tcPr>
            <w:tcW w:w="1838" w:type="dxa"/>
          </w:tcPr>
          <w:p w14:paraId="470D457F" w14:textId="77777777" w:rsidR="004E2E7B" w:rsidRDefault="004E2E7B" w:rsidP="003562D5">
            <w:r>
              <w:t xml:space="preserve">Customer prize winnings </w:t>
            </w:r>
          </w:p>
        </w:tc>
        <w:tc>
          <w:tcPr>
            <w:tcW w:w="7036" w:type="dxa"/>
          </w:tcPr>
          <w:p w14:paraId="632FEACF" w14:textId="77777777" w:rsidR="004E2E7B" w:rsidRDefault="004E2E7B" w:rsidP="003562D5">
            <w:r>
              <w:t>Ticket purchases are limited per participating user. This is a restriction placed upon users in the lottery systems, which makes it impossible for a single user to purchase a large amount of tickets. Therefore, a large number of individual user accounts would be needed to attempt money laundering of any significant value, which would be identified in the lottery systems.</w:t>
            </w:r>
          </w:p>
          <w:p w14:paraId="50802461" w14:textId="3623295D" w:rsidR="004E2E7B" w:rsidRDefault="004E2E7B" w:rsidP="003562D5">
            <w:r>
              <w:t>The maximum return possible from money laundering through the purchase of tickets is extremely low in comparison to other gambling activities.</w:t>
            </w:r>
          </w:p>
        </w:tc>
      </w:tr>
      <w:tr w:rsidR="004E2E7B" w14:paraId="2391ABB1" w14:textId="77777777" w:rsidTr="000E284C">
        <w:tc>
          <w:tcPr>
            <w:tcW w:w="1838" w:type="dxa"/>
          </w:tcPr>
          <w:p w14:paraId="339101A6" w14:textId="77777777" w:rsidR="004E2E7B" w:rsidRPr="0014049E" w:rsidRDefault="004E2E7B" w:rsidP="0014049E">
            <w:pPr>
              <w:rPr>
                <w:rFonts w:cs="Arial"/>
                <w:szCs w:val="24"/>
              </w:rPr>
            </w:pPr>
            <w:r w:rsidRPr="0014049E">
              <w:rPr>
                <w:rFonts w:cs="Arial"/>
                <w:szCs w:val="24"/>
              </w:rPr>
              <w:t>Legitimacy of good causes</w:t>
            </w:r>
          </w:p>
        </w:tc>
        <w:tc>
          <w:tcPr>
            <w:tcW w:w="7036" w:type="dxa"/>
          </w:tcPr>
          <w:p w14:paraId="5A2DA14B" w14:textId="26DB52DF" w:rsidR="004E2E7B" w:rsidRPr="0014049E" w:rsidRDefault="004E2E7B" w:rsidP="0014049E">
            <w:pPr>
              <w:pBdr>
                <w:top w:val="nil"/>
                <w:left w:val="nil"/>
                <w:bottom w:val="nil"/>
                <w:right w:val="nil"/>
                <w:between w:val="nil"/>
              </w:pBdr>
              <w:rPr>
                <w:rFonts w:cs="Arial"/>
                <w:szCs w:val="24"/>
              </w:rPr>
            </w:pPr>
            <w:r w:rsidRPr="0014049E">
              <w:rPr>
                <w:rFonts w:cs="Arial"/>
                <w:szCs w:val="24"/>
              </w:rPr>
              <w:t xml:space="preserve">To ensure the legitimacy of good causes registered on the Operator’s lottery website, a </w:t>
            </w:r>
            <w:r w:rsidRPr="0014049E">
              <w:rPr>
                <w:rFonts w:eastAsia="Verdana" w:cs="Arial"/>
                <w:color w:val="000000"/>
                <w:szCs w:val="24"/>
              </w:rPr>
              <w:t xml:space="preserve">cause application and approval workflow process is in place whereby the </w:t>
            </w:r>
            <w:r w:rsidRPr="0014049E">
              <w:rPr>
                <w:rFonts w:cs="Arial"/>
                <w:szCs w:val="24"/>
              </w:rPr>
              <w:t>Operator</w:t>
            </w:r>
            <w:r w:rsidRPr="0014049E">
              <w:rPr>
                <w:rFonts w:eastAsia="Verdana" w:cs="Arial"/>
                <w:color w:val="000000"/>
                <w:szCs w:val="24"/>
              </w:rPr>
              <w:t xml:space="preserve"> itself has a duty to verify the identity of each good cause prior to approving their inclusion and set up on </w:t>
            </w:r>
            <w:r w:rsidRPr="0014049E">
              <w:rPr>
                <w:rFonts w:cs="Arial"/>
                <w:szCs w:val="24"/>
              </w:rPr>
              <w:t>the Operator’s lottery website</w:t>
            </w:r>
            <w:r w:rsidRPr="0014049E">
              <w:rPr>
                <w:rFonts w:eastAsia="Verdana" w:cs="Arial"/>
                <w:color w:val="000000"/>
                <w:szCs w:val="24"/>
              </w:rPr>
              <w:t xml:space="preserve">. This workflow is comprehensively tracked and logged on </w:t>
            </w:r>
            <w:r w:rsidRPr="0014049E">
              <w:rPr>
                <w:rFonts w:cs="Arial"/>
                <w:szCs w:val="24"/>
              </w:rPr>
              <w:t>system records.</w:t>
            </w:r>
          </w:p>
        </w:tc>
      </w:tr>
      <w:tr w:rsidR="004E2E7B" w14:paraId="5752CF0D" w14:textId="77777777" w:rsidTr="000E284C">
        <w:tc>
          <w:tcPr>
            <w:tcW w:w="1838" w:type="dxa"/>
          </w:tcPr>
          <w:p w14:paraId="267458EE" w14:textId="77777777" w:rsidR="004E2E7B" w:rsidRDefault="004E2E7B" w:rsidP="00D5620B">
            <w:r>
              <w:t>Security</w:t>
            </w:r>
          </w:p>
        </w:tc>
        <w:tc>
          <w:tcPr>
            <w:tcW w:w="7036" w:type="dxa"/>
          </w:tcPr>
          <w:p w14:paraId="68BEFFE6" w14:textId="12C62763" w:rsidR="004E2E7B" w:rsidRDefault="004E2E7B" w:rsidP="00D5620B">
            <w:pPr>
              <w:pBdr>
                <w:top w:val="nil"/>
                <w:left w:val="nil"/>
                <w:bottom w:val="nil"/>
                <w:right w:val="nil"/>
                <w:between w:val="nil"/>
              </w:pBdr>
            </w:pPr>
            <w:r>
              <w:t>The lottery software resides on secure servers behind encrypted firewalls, which provide bank level security protocols in the transfer of electronic data. In addition, the servers are located in a secure data centre managed by DBS checked staff.</w:t>
            </w:r>
          </w:p>
          <w:p w14:paraId="06AA88E8" w14:textId="3D8C310D" w:rsidR="004E2E7B" w:rsidRDefault="004E2E7B" w:rsidP="00D5620B">
            <w:pPr>
              <w:pBdr>
                <w:top w:val="nil"/>
                <w:left w:val="nil"/>
                <w:bottom w:val="nil"/>
                <w:right w:val="nil"/>
                <w:between w:val="nil"/>
              </w:pBdr>
            </w:pPr>
            <w:r>
              <w:t xml:space="preserve">There is a full audit trail of every transaction for the software, including timestamps. This allows full investigation of any suspicious activities. </w:t>
            </w:r>
          </w:p>
        </w:tc>
      </w:tr>
      <w:tr w:rsidR="004E2E7B" w14:paraId="00E8AB50" w14:textId="77777777" w:rsidTr="000E284C">
        <w:tc>
          <w:tcPr>
            <w:tcW w:w="1838" w:type="dxa"/>
          </w:tcPr>
          <w:p w14:paraId="1EDDFAFC" w14:textId="77777777" w:rsidR="004E2E7B" w:rsidRDefault="004E2E7B" w:rsidP="00D5620B">
            <w:r>
              <w:lastRenderedPageBreak/>
              <w:t>Personnel</w:t>
            </w:r>
          </w:p>
        </w:tc>
        <w:tc>
          <w:tcPr>
            <w:tcW w:w="7036" w:type="dxa"/>
          </w:tcPr>
          <w:p w14:paraId="1FAE686C" w14:textId="7144F9A7" w:rsidR="004E2E7B" w:rsidRDefault="004E2E7B" w:rsidP="00D5620B">
            <w:pPr>
              <w:pBdr>
                <w:top w:val="nil"/>
                <w:left w:val="nil"/>
                <w:bottom w:val="nil"/>
                <w:right w:val="nil"/>
                <w:between w:val="nil"/>
              </w:pBdr>
            </w:pPr>
            <w:r>
              <w:t>Any suspicion of illegal behaviour by the Operator’s personnel will result in a full investigation. For the duration of any such investigation, the person will be suspended from their duties for the protection of customers, the Operator’s personnel and the reputation of the organisation.</w:t>
            </w:r>
          </w:p>
        </w:tc>
      </w:tr>
      <w:tr w:rsidR="004E2E7B" w14:paraId="737B2E30" w14:textId="77777777" w:rsidTr="000E284C">
        <w:tc>
          <w:tcPr>
            <w:tcW w:w="1838" w:type="dxa"/>
          </w:tcPr>
          <w:p w14:paraId="7900D8C0" w14:textId="77777777" w:rsidR="004E2E7B" w:rsidRDefault="004E2E7B" w:rsidP="00CF584E">
            <w:r>
              <w:t>Service providers</w:t>
            </w:r>
          </w:p>
        </w:tc>
        <w:tc>
          <w:tcPr>
            <w:tcW w:w="7036" w:type="dxa"/>
          </w:tcPr>
          <w:p w14:paraId="767B4E63" w14:textId="1CC6E931" w:rsidR="004E2E7B" w:rsidRDefault="004E2E7B" w:rsidP="00CF584E">
            <w:pPr>
              <w:pBdr>
                <w:top w:val="nil"/>
                <w:left w:val="nil"/>
                <w:bottom w:val="nil"/>
                <w:right w:val="nil"/>
                <w:between w:val="nil"/>
              </w:pBdr>
            </w:pPr>
            <w:r>
              <w:t>All service providers that provide essential services to the Operator in order to operate its lottery website (such as direct debit bureaus and payment gateways) undergo thorough checks in respect of their suitability, credibility and reputation. This may include financial health checks and references.</w:t>
            </w:r>
          </w:p>
        </w:tc>
      </w:tr>
    </w:tbl>
    <w:p w14:paraId="57A7DBF3" w14:textId="77777777" w:rsidR="004E2E7B" w:rsidRDefault="004E2E7B" w:rsidP="004E2E7B">
      <w:pPr>
        <w:pBdr>
          <w:top w:val="nil"/>
          <w:left w:val="nil"/>
          <w:bottom w:val="nil"/>
          <w:right w:val="nil"/>
          <w:between w:val="nil"/>
        </w:pBdr>
        <w:jc w:val="both"/>
      </w:pPr>
    </w:p>
    <w:p w14:paraId="5DADE480"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Assessment</w:t>
      </w:r>
    </w:p>
    <w:p w14:paraId="7323D990" w14:textId="77777777" w:rsidR="004E2E7B" w:rsidRDefault="004E2E7B" w:rsidP="00CF584E">
      <w:pPr>
        <w:pBdr>
          <w:top w:val="nil"/>
          <w:left w:val="nil"/>
          <w:bottom w:val="nil"/>
          <w:right w:val="nil"/>
          <w:between w:val="nil"/>
        </w:pBdr>
        <w:spacing w:after="0"/>
        <w:jc w:val="both"/>
      </w:pPr>
    </w:p>
    <w:p w14:paraId="5E647A4D" w14:textId="450C8F32" w:rsidR="004E2E7B" w:rsidRDefault="004E2E7B" w:rsidP="00CF584E">
      <w:pPr>
        <w:pBdr>
          <w:top w:val="nil"/>
          <w:left w:val="nil"/>
          <w:bottom w:val="nil"/>
          <w:right w:val="nil"/>
          <w:between w:val="nil"/>
        </w:pBdr>
        <w:jc w:val="both"/>
      </w:pPr>
      <w:r>
        <w:t>The Operator assesses its overall money laundering risk as low for the following reasons:</w:t>
      </w:r>
    </w:p>
    <w:p w14:paraId="65A97BF6" w14:textId="59E7F239" w:rsidR="004E2E7B" w:rsidRDefault="004E2E7B" w:rsidP="00CF584E">
      <w:pPr>
        <w:numPr>
          <w:ilvl w:val="0"/>
          <w:numId w:val="42"/>
        </w:numPr>
        <w:pBdr>
          <w:top w:val="nil"/>
          <w:left w:val="nil"/>
          <w:bottom w:val="nil"/>
          <w:right w:val="nil"/>
          <w:between w:val="nil"/>
        </w:pBdr>
        <w:spacing w:after="0"/>
        <w:jc w:val="both"/>
        <w:rPr>
          <w:rFonts w:cs="Arial"/>
          <w:szCs w:val="24"/>
        </w:rPr>
      </w:pPr>
      <w:r w:rsidRPr="00CF584E">
        <w:rPr>
          <w:rFonts w:eastAsia="Verdana" w:cs="Arial"/>
          <w:color w:val="000000"/>
          <w:szCs w:val="24"/>
        </w:rPr>
        <w:t xml:space="preserve">The opportunities for money laundering within </w:t>
      </w:r>
      <w:r w:rsidRPr="00CF584E">
        <w:rPr>
          <w:rFonts w:cs="Arial"/>
          <w:szCs w:val="24"/>
        </w:rPr>
        <w:t xml:space="preserve">the Operator’s organisation </w:t>
      </w:r>
      <w:r w:rsidRPr="00CF584E">
        <w:rPr>
          <w:rFonts w:eastAsia="Verdana" w:cs="Arial"/>
          <w:color w:val="000000"/>
          <w:szCs w:val="24"/>
        </w:rPr>
        <w:t>are limited. The low ticket value and restrictions on the number of tickets per user means that criminals would have to set up a large number of accounts to make any money laundering activity worthwhile.</w:t>
      </w:r>
    </w:p>
    <w:p w14:paraId="03B6A951" w14:textId="77777777" w:rsidR="00CF584E" w:rsidRPr="00CF584E" w:rsidRDefault="00CF584E" w:rsidP="00CF584E">
      <w:pPr>
        <w:pBdr>
          <w:top w:val="nil"/>
          <w:left w:val="nil"/>
          <w:bottom w:val="nil"/>
          <w:right w:val="nil"/>
          <w:between w:val="nil"/>
        </w:pBdr>
        <w:spacing w:after="0"/>
        <w:ind w:left="720"/>
        <w:jc w:val="both"/>
        <w:rPr>
          <w:rFonts w:cs="Arial"/>
          <w:szCs w:val="24"/>
        </w:rPr>
      </w:pPr>
    </w:p>
    <w:p w14:paraId="172E4E66" w14:textId="1ACE3E7B" w:rsidR="004E2E7B" w:rsidRDefault="004E2E7B" w:rsidP="00CF584E">
      <w:pPr>
        <w:numPr>
          <w:ilvl w:val="0"/>
          <w:numId w:val="42"/>
        </w:numPr>
        <w:pBdr>
          <w:top w:val="nil"/>
          <w:left w:val="nil"/>
          <w:bottom w:val="nil"/>
          <w:right w:val="nil"/>
          <w:between w:val="nil"/>
        </w:pBdr>
        <w:spacing w:after="0"/>
        <w:jc w:val="both"/>
        <w:rPr>
          <w:rFonts w:cs="Arial"/>
          <w:szCs w:val="24"/>
        </w:rPr>
      </w:pPr>
      <w:r w:rsidRPr="00CF584E">
        <w:rPr>
          <w:rFonts w:eastAsia="Verdana" w:cs="Arial"/>
          <w:color w:val="000000"/>
          <w:szCs w:val="24"/>
        </w:rPr>
        <w:t xml:space="preserve">The setting up of a good cause requires validation from </w:t>
      </w:r>
      <w:r w:rsidRPr="00CF584E">
        <w:rPr>
          <w:rFonts w:cs="Arial"/>
          <w:szCs w:val="24"/>
        </w:rPr>
        <w:t>the Operator</w:t>
      </w:r>
      <w:r w:rsidRPr="00CF584E">
        <w:rPr>
          <w:rFonts w:eastAsia="Verdana" w:cs="Arial"/>
          <w:color w:val="000000"/>
          <w:szCs w:val="24"/>
        </w:rPr>
        <w:t>, which deters criminal activity.</w:t>
      </w:r>
    </w:p>
    <w:p w14:paraId="288D02C3" w14:textId="77777777" w:rsidR="00CF584E" w:rsidRPr="00CF584E" w:rsidRDefault="00CF584E" w:rsidP="00CF584E">
      <w:pPr>
        <w:pBdr>
          <w:top w:val="nil"/>
          <w:left w:val="nil"/>
          <w:bottom w:val="nil"/>
          <w:right w:val="nil"/>
          <w:between w:val="nil"/>
        </w:pBdr>
        <w:spacing w:after="0"/>
        <w:jc w:val="both"/>
        <w:rPr>
          <w:rFonts w:cs="Arial"/>
          <w:szCs w:val="24"/>
        </w:rPr>
      </w:pPr>
    </w:p>
    <w:p w14:paraId="66825E4B" w14:textId="77777777" w:rsidR="004E2E7B" w:rsidRPr="00CF584E" w:rsidRDefault="004E2E7B" w:rsidP="004E2E7B">
      <w:pPr>
        <w:numPr>
          <w:ilvl w:val="0"/>
          <w:numId w:val="42"/>
        </w:numPr>
        <w:pBdr>
          <w:top w:val="nil"/>
          <w:left w:val="nil"/>
          <w:bottom w:val="nil"/>
          <w:right w:val="nil"/>
          <w:between w:val="nil"/>
        </w:pBdr>
        <w:spacing w:after="0"/>
        <w:jc w:val="both"/>
        <w:rPr>
          <w:rFonts w:cs="Arial"/>
          <w:szCs w:val="24"/>
        </w:rPr>
      </w:pPr>
      <w:r w:rsidRPr="00CF584E">
        <w:rPr>
          <w:rFonts w:eastAsia="Verdana" w:cs="Arial"/>
          <w:color w:val="000000"/>
          <w:szCs w:val="24"/>
        </w:rPr>
        <w:t xml:space="preserve">The overall balance of risk and effort versus reward means that attempted money laundering through </w:t>
      </w:r>
      <w:r w:rsidRPr="00CF584E">
        <w:rPr>
          <w:rFonts w:cs="Arial"/>
          <w:szCs w:val="24"/>
        </w:rPr>
        <w:t>the Operator’s lottery</w:t>
      </w:r>
      <w:r w:rsidRPr="00CF584E">
        <w:rPr>
          <w:rFonts w:eastAsia="Verdana" w:cs="Arial"/>
          <w:color w:val="000000"/>
          <w:szCs w:val="24"/>
        </w:rPr>
        <w:t xml:space="preserve"> </w:t>
      </w:r>
      <w:r w:rsidRPr="00CF584E">
        <w:rPr>
          <w:rFonts w:eastAsia="Roboto" w:cs="Arial"/>
          <w:szCs w:val="24"/>
          <w:highlight w:val="white"/>
        </w:rPr>
        <w:t>would require a lot of effort for low return and that the likelihood of discovery would be extremely high</w:t>
      </w:r>
      <w:r w:rsidRPr="00CF584E">
        <w:rPr>
          <w:rFonts w:cs="Arial"/>
          <w:szCs w:val="24"/>
        </w:rPr>
        <w:t>.</w:t>
      </w:r>
    </w:p>
    <w:p w14:paraId="326848C6" w14:textId="77777777" w:rsidR="004E2E7B" w:rsidRDefault="004E2E7B" w:rsidP="004E2E7B">
      <w:pPr>
        <w:pBdr>
          <w:top w:val="nil"/>
          <w:left w:val="nil"/>
          <w:bottom w:val="nil"/>
          <w:right w:val="nil"/>
          <w:between w:val="nil"/>
        </w:pBdr>
        <w:ind w:left="720"/>
        <w:rPr>
          <w:color w:val="000000"/>
        </w:rPr>
      </w:pPr>
    </w:p>
    <w:p w14:paraId="65BCB27D" w14:textId="77777777" w:rsidR="004E2E7B" w:rsidRDefault="004E2E7B" w:rsidP="004E2E7B">
      <w:pPr>
        <w:pBdr>
          <w:top w:val="nil"/>
          <w:left w:val="nil"/>
          <w:bottom w:val="nil"/>
          <w:right w:val="nil"/>
          <w:between w:val="nil"/>
        </w:pBdr>
        <w:jc w:val="both"/>
        <w:rPr>
          <w:color w:val="1F366A"/>
          <w:sz w:val="32"/>
          <w:szCs w:val="32"/>
        </w:rPr>
      </w:pPr>
      <w:r>
        <w:t xml:space="preserve">The Gambling Commission has also assessed the current overall risk rating for Society Lotteries and External Lottery Managers as low. The Gambling Commission risk assessment may be found </w:t>
      </w:r>
      <w:hyperlink r:id="rId13">
        <w:r>
          <w:rPr>
            <w:color w:val="0000FF"/>
            <w:u w:val="single"/>
          </w:rPr>
          <w:t>here</w:t>
        </w:r>
      </w:hyperlink>
      <w:r>
        <w:t>.</w:t>
      </w:r>
    </w:p>
    <w:p w14:paraId="13184818" w14:textId="77777777" w:rsidR="004E2E7B" w:rsidRPr="0094769C" w:rsidRDefault="004E2E7B" w:rsidP="0094769C">
      <w:pPr>
        <w:pStyle w:val="Heading2"/>
        <w:numPr>
          <w:ilvl w:val="0"/>
          <w:numId w:val="0"/>
        </w:numPr>
        <w:ind w:left="431" w:hanging="431"/>
        <w:jc w:val="both"/>
        <w:rPr>
          <w:u w:val="single"/>
        </w:rPr>
      </w:pPr>
      <w:r w:rsidRPr="0094769C">
        <w:rPr>
          <w:u w:val="single"/>
        </w:rPr>
        <w:t>Suspicious Activity Reporting</w:t>
      </w:r>
    </w:p>
    <w:p w14:paraId="25927CAA"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Money Laundering Reporting Officer</w:t>
      </w:r>
    </w:p>
    <w:p w14:paraId="376049B0" w14:textId="77777777" w:rsidR="007D1B2B" w:rsidRPr="007D1B2B" w:rsidRDefault="007D1B2B" w:rsidP="007D1B2B">
      <w:pPr>
        <w:pBdr>
          <w:top w:val="nil"/>
          <w:left w:val="nil"/>
          <w:bottom w:val="nil"/>
          <w:right w:val="nil"/>
          <w:between w:val="nil"/>
        </w:pBdr>
        <w:spacing w:after="0"/>
        <w:jc w:val="both"/>
        <w:rPr>
          <w:rFonts w:cs="Arial"/>
        </w:rPr>
      </w:pPr>
    </w:p>
    <w:p w14:paraId="0EB5F7A4" w14:textId="68AFEC4A" w:rsidR="004E2E7B" w:rsidRPr="007D1B2B" w:rsidRDefault="004E2E7B" w:rsidP="004E2E7B">
      <w:pPr>
        <w:pBdr>
          <w:top w:val="nil"/>
          <w:left w:val="nil"/>
          <w:bottom w:val="nil"/>
          <w:right w:val="nil"/>
          <w:between w:val="nil"/>
        </w:pBdr>
        <w:jc w:val="both"/>
        <w:rPr>
          <w:rFonts w:cs="Arial"/>
        </w:rPr>
      </w:pPr>
      <w:r w:rsidRPr="007D1B2B">
        <w:rPr>
          <w:rFonts w:cs="Arial"/>
        </w:rPr>
        <w:t>As the Operator is not within the regulated sector, it is not obliged under the POCA or the TA 2000 to appoint a Money Laundering Reporting Officer (</w:t>
      </w:r>
      <w:r w:rsidRPr="007D1B2B">
        <w:rPr>
          <w:rFonts w:cs="Arial"/>
          <w:b/>
        </w:rPr>
        <w:t>MLRO</w:t>
      </w:r>
      <w:r w:rsidRPr="007D1B2B">
        <w:rPr>
          <w:rFonts w:cs="Arial"/>
        </w:rPr>
        <w:t>). However, in line with guidance from the Gambling Commission, the Operator has decided to appoint a MLRO in order to more effectively satisfy its obligations under the POCA, TA 2000 and the LCCP.</w:t>
      </w:r>
    </w:p>
    <w:p w14:paraId="75EA19F4" w14:textId="655D7FEC" w:rsidR="004E2E7B" w:rsidRDefault="004E2E7B" w:rsidP="004E2E7B">
      <w:pPr>
        <w:pBdr>
          <w:top w:val="nil"/>
          <w:left w:val="nil"/>
          <w:bottom w:val="nil"/>
          <w:right w:val="nil"/>
          <w:between w:val="nil"/>
        </w:pBdr>
        <w:jc w:val="both"/>
      </w:pPr>
      <w:r>
        <w:t xml:space="preserve">The Operator has </w:t>
      </w:r>
      <w:r w:rsidRPr="00E83535">
        <w:t xml:space="preserve">appointed </w:t>
      </w:r>
      <w:r w:rsidR="006143FB" w:rsidRPr="00E83535">
        <w:rPr>
          <w:b/>
        </w:rPr>
        <w:t>Laura Shipley</w:t>
      </w:r>
      <w:r w:rsidRPr="00E83535">
        <w:rPr>
          <w:b/>
        </w:rPr>
        <w:t xml:space="preserve">, </w:t>
      </w:r>
      <w:r w:rsidR="00EA3CE8" w:rsidRPr="00E83535">
        <w:rPr>
          <w:b/>
        </w:rPr>
        <w:t>Financial Services Manager</w:t>
      </w:r>
      <w:r w:rsidRPr="00E83535">
        <w:t xml:space="preserve"> </w:t>
      </w:r>
      <w:r>
        <w:t xml:space="preserve">as its MLRO. The MLRO is responsible for receiving, investigating and (if deemed </w:t>
      </w:r>
      <w:r>
        <w:lastRenderedPageBreak/>
        <w:t>necessary) acting upon all Suspicious Activity Reports (</w:t>
      </w:r>
      <w:r>
        <w:rPr>
          <w:b/>
        </w:rPr>
        <w:t>SAR</w:t>
      </w:r>
      <w:r>
        <w:t>) received from Operator personnel.</w:t>
      </w:r>
    </w:p>
    <w:p w14:paraId="6644730F" w14:textId="1026AD22" w:rsidR="004E2E7B" w:rsidRPr="00253A07" w:rsidRDefault="004E2E7B" w:rsidP="00EE086C">
      <w:pPr>
        <w:pStyle w:val="Heading3"/>
        <w:jc w:val="both"/>
        <w:rPr>
          <w:rFonts w:ascii="Arial" w:hAnsi="Arial" w:cs="Arial"/>
          <w:b/>
          <w:bCs/>
          <w:color w:val="auto"/>
        </w:rPr>
      </w:pPr>
      <w:r w:rsidRPr="00253A07">
        <w:rPr>
          <w:rFonts w:ascii="Arial" w:hAnsi="Arial" w:cs="Arial"/>
          <w:b/>
          <w:bCs/>
          <w:color w:val="auto"/>
        </w:rPr>
        <w:t>Internal Reporting Procedure</w:t>
      </w:r>
    </w:p>
    <w:p w14:paraId="649CC205" w14:textId="77777777" w:rsidR="00EE086C" w:rsidRPr="00EE086C" w:rsidRDefault="00EE086C" w:rsidP="00EE086C">
      <w:pPr>
        <w:spacing w:after="0"/>
      </w:pPr>
    </w:p>
    <w:p w14:paraId="6AFF066D" w14:textId="77777777" w:rsidR="004E2E7B" w:rsidRDefault="004E2E7B" w:rsidP="004E2E7B">
      <w:pPr>
        <w:pBdr>
          <w:top w:val="nil"/>
          <w:left w:val="nil"/>
          <w:bottom w:val="nil"/>
          <w:right w:val="nil"/>
          <w:between w:val="nil"/>
        </w:pBdr>
        <w:jc w:val="both"/>
      </w:pPr>
      <w:r>
        <w:t>All Operator personnel are expected to be vigilant to the possibility of money laundering occurring within the business and should use their personal judgment to identify suspicious circumstances.</w:t>
      </w:r>
    </w:p>
    <w:p w14:paraId="0EBFD367" w14:textId="77777777" w:rsidR="004E2E7B" w:rsidRDefault="004E2E7B" w:rsidP="004E2E7B">
      <w:pPr>
        <w:pBdr>
          <w:top w:val="nil"/>
          <w:left w:val="nil"/>
          <w:bottom w:val="nil"/>
          <w:right w:val="nil"/>
          <w:between w:val="nil"/>
        </w:pBdr>
        <w:jc w:val="both"/>
      </w:pPr>
      <w:r>
        <w:t>Examples of suspicious circumstances may include (this list is not exhaustive):</w:t>
      </w:r>
    </w:p>
    <w:p w14:paraId="40F9D1D2" w14:textId="77777777" w:rsidR="004E2E7B" w:rsidRDefault="004E2E7B" w:rsidP="004E2E7B">
      <w:pPr>
        <w:numPr>
          <w:ilvl w:val="0"/>
          <w:numId w:val="43"/>
        </w:numPr>
        <w:pBdr>
          <w:top w:val="nil"/>
          <w:left w:val="nil"/>
          <w:bottom w:val="nil"/>
          <w:right w:val="nil"/>
          <w:between w:val="nil"/>
        </w:pBdr>
        <w:spacing w:after="0"/>
        <w:jc w:val="both"/>
      </w:pPr>
      <w:r>
        <w:t>An unexpected material increase in the number of user accounts set up in the Operator’s lottery over a short period of time.</w:t>
      </w:r>
    </w:p>
    <w:p w14:paraId="4AF3492B" w14:textId="77777777" w:rsidR="004E2E7B" w:rsidRDefault="004E2E7B" w:rsidP="004E2E7B">
      <w:pPr>
        <w:numPr>
          <w:ilvl w:val="0"/>
          <w:numId w:val="43"/>
        </w:numPr>
        <w:pBdr>
          <w:top w:val="nil"/>
          <w:left w:val="nil"/>
          <w:bottom w:val="nil"/>
          <w:right w:val="nil"/>
          <w:between w:val="nil"/>
        </w:pBdr>
        <w:spacing w:after="0"/>
        <w:jc w:val="both"/>
      </w:pPr>
      <w:r>
        <w:t>An unexpected material increase in the number of good cause applications in the Operator’s lottery over a short period of time.</w:t>
      </w:r>
    </w:p>
    <w:p w14:paraId="724AD554" w14:textId="77777777" w:rsidR="004E2E7B" w:rsidRDefault="004E2E7B" w:rsidP="004E2E7B">
      <w:pPr>
        <w:numPr>
          <w:ilvl w:val="0"/>
          <w:numId w:val="43"/>
        </w:numPr>
        <w:pBdr>
          <w:top w:val="nil"/>
          <w:left w:val="nil"/>
          <w:bottom w:val="nil"/>
          <w:right w:val="nil"/>
          <w:between w:val="nil"/>
        </w:pBdr>
        <w:spacing w:after="0"/>
        <w:jc w:val="both"/>
      </w:pPr>
      <w:r>
        <w:t>An increase in high ticket purchases for individual players.</w:t>
      </w:r>
    </w:p>
    <w:p w14:paraId="3BE6E822" w14:textId="77777777" w:rsidR="004E2E7B" w:rsidRDefault="004E2E7B" w:rsidP="004E2E7B">
      <w:pPr>
        <w:numPr>
          <w:ilvl w:val="0"/>
          <w:numId w:val="43"/>
        </w:numPr>
        <w:pBdr>
          <w:top w:val="nil"/>
          <w:left w:val="nil"/>
          <w:bottom w:val="nil"/>
          <w:right w:val="nil"/>
          <w:between w:val="nil"/>
        </w:pBdr>
        <w:spacing w:after="0"/>
        <w:jc w:val="both"/>
      </w:pPr>
      <w:r>
        <w:t>Operator personnel requesting access to systems used for a purpose which is outside of their usual responsibilities.</w:t>
      </w:r>
    </w:p>
    <w:p w14:paraId="24643A7E" w14:textId="77777777" w:rsidR="004E2E7B" w:rsidRDefault="004E2E7B" w:rsidP="00DF6B86">
      <w:pPr>
        <w:pBdr>
          <w:top w:val="nil"/>
          <w:left w:val="nil"/>
          <w:bottom w:val="nil"/>
          <w:right w:val="nil"/>
          <w:between w:val="nil"/>
        </w:pBdr>
        <w:spacing w:after="0"/>
        <w:jc w:val="both"/>
      </w:pPr>
    </w:p>
    <w:p w14:paraId="3424BAF5" w14:textId="77777777" w:rsidR="004E2E7B" w:rsidRDefault="004E2E7B" w:rsidP="004E2E7B">
      <w:pPr>
        <w:pBdr>
          <w:top w:val="nil"/>
          <w:left w:val="nil"/>
          <w:bottom w:val="nil"/>
          <w:right w:val="nil"/>
          <w:between w:val="nil"/>
        </w:pBdr>
        <w:jc w:val="both"/>
      </w:pPr>
      <w:r>
        <w:t>If you are suspicious of money laundering activities occurring within the Operator organisation, you must report it to the MLRO as soon as possible using the SAR Form set out in the Annex to this Policy. It is important that suspicions are reported promptly as it can provide both the Operator and its personnel with protection against prosecution.</w:t>
      </w:r>
    </w:p>
    <w:p w14:paraId="292CE75F" w14:textId="77777777" w:rsidR="004E2E7B" w:rsidRDefault="004E2E7B" w:rsidP="004E2E7B">
      <w:pPr>
        <w:pBdr>
          <w:top w:val="nil"/>
          <w:left w:val="nil"/>
          <w:bottom w:val="nil"/>
          <w:right w:val="nil"/>
          <w:between w:val="nil"/>
        </w:pBdr>
        <w:jc w:val="both"/>
      </w:pPr>
      <w:r>
        <w:t xml:space="preserve">If you feel uncomfortable in making a SAR, you may speak with your line manager and complete the SAR Form together. You </w:t>
      </w:r>
      <w:r>
        <w:rPr>
          <w:b/>
        </w:rPr>
        <w:t>must not</w:t>
      </w:r>
      <w:r>
        <w:t xml:space="preserve"> discuss your suspicions with anyone who may prejudice any investigation into criminal activity. You also </w:t>
      </w:r>
      <w:r>
        <w:rPr>
          <w:b/>
        </w:rPr>
        <w:t>must not</w:t>
      </w:r>
      <w:r>
        <w:t xml:space="preserve"> delete or alter any records which may be relied upon to investigate criminal activity.</w:t>
      </w:r>
    </w:p>
    <w:p w14:paraId="3AB4E52E"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Reporting to Law Enforcement</w:t>
      </w:r>
    </w:p>
    <w:p w14:paraId="48C8EA61" w14:textId="77777777" w:rsidR="004E2E7B" w:rsidRDefault="004E2E7B" w:rsidP="00036560">
      <w:pPr>
        <w:pBdr>
          <w:top w:val="nil"/>
          <w:left w:val="nil"/>
          <w:bottom w:val="nil"/>
          <w:right w:val="nil"/>
          <w:between w:val="nil"/>
        </w:pBdr>
        <w:spacing w:after="0"/>
        <w:jc w:val="both"/>
      </w:pPr>
    </w:p>
    <w:p w14:paraId="5ED46ED1" w14:textId="77777777" w:rsidR="004E2E7B" w:rsidRDefault="004E2E7B" w:rsidP="004E2E7B">
      <w:pPr>
        <w:pBdr>
          <w:top w:val="nil"/>
          <w:left w:val="nil"/>
          <w:bottom w:val="nil"/>
          <w:right w:val="nil"/>
          <w:between w:val="nil"/>
        </w:pBdr>
        <w:jc w:val="both"/>
      </w:pPr>
      <w:r>
        <w:t>The MLRO, in consultation with the Operator’s Legal Department, is responsible for investigating all SARs received from Operator personnel and deciding whether to make a subsequent SAR to the National Crime Agency (</w:t>
      </w:r>
      <w:r>
        <w:rPr>
          <w:b/>
        </w:rPr>
        <w:t>NCA</w:t>
      </w:r>
      <w:r>
        <w:t>) and the Gambling Commission.</w:t>
      </w:r>
    </w:p>
    <w:p w14:paraId="16AC3121" w14:textId="77777777" w:rsidR="004E2E7B" w:rsidRPr="00253A07" w:rsidRDefault="004E2E7B" w:rsidP="004E2E7B">
      <w:pPr>
        <w:pStyle w:val="Heading3"/>
        <w:jc w:val="both"/>
        <w:rPr>
          <w:rFonts w:ascii="Arial" w:hAnsi="Arial" w:cs="Arial"/>
          <w:b/>
          <w:bCs/>
          <w:color w:val="auto"/>
        </w:rPr>
      </w:pPr>
      <w:r w:rsidRPr="00253A07">
        <w:rPr>
          <w:rFonts w:ascii="Arial" w:hAnsi="Arial" w:cs="Arial"/>
          <w:b/>
          <w:bCs/>
          <w:color w:val="auto"/>
        </w:rPr>
        <w:t>Record-keeping</w:t>
      </w:r>
    </w:p>
    <w:p w14:paraId="00425E9A" w14:textId="77777777" w:rsidR="00BC5ADC" w:rsidRDefault="00BC5ADC" w:rsidP="00BC5ADC">
      <w:pPr>
        <w:pBdr>
          <w:top w:val="nil"/>
          <w:left w:val="nil"/>
          <w:bottom w:val="nil"/>
          <w:right w:val="nil"/>
          <w:between w:val="nil"/>
        </w:pBdr>
        <w:spacing w:after="0"/>
        <w:jc w:val="both"/>
      </w:pPr>
    </w:p>
    <w:p w14:paraId="0B878F5B" w14:textId="526ED085" w:rsidR="004E2E7B" w:rsidRDefault="004E2E7B" w:rsidP="00BC5ADC">
      <w:pPr>
        <w:pBdr>
          <w:top w:val="nil"/>
          <w:left w:val="nil"/>
          <w:bottom w:val="nil"/>
          <w:right w:val="nil"/>
          <w:between w:val="nil"/>
        </w:pBdr>
        <w:spacing w:after="0"/>
        <w:jc w:val="both"/>
      </w:pPr>
      <w:r>
        <w:t>The MLRO is responsible for keeping adequate records of:</w:t>
      </w:r>
    </w:p>
    <w:p w14:paraId="6A933DFE" w14:textId="77777777" w:rsidR="004E2E7B" w:rsidRDefault="004E2E7B" w:rsidP="00BC5ADC">
      <w:pPr>
        <w:pBdr>
          <w:top w:val="nil"/>
          <w:left w:val="nil"/>
          <w:bottom w:val="nil"/>
          <w:right w:val="nil"/>
          <w:between w:val="nil"/>
        </w:pBdr>
        <w:spacing w:after="0"/>
        <w:jc w:val="both"/>
      </w:pPr>
    </w:p>
    <w:p w14:paraId="2DBE325C" w14:textId="77777777" w:rsidR="004E2E7B" w:rsidRPr="00BE065D" w:rsidRDefault="004E2E7B" w:rsidP="004E2E7B">
      <w:pPr>
        <w:numPr>
          <w:ilvl w:val="0"/>
          <w:numId w:val="45"/>
        </w:numPr>
        <w:pBdr>
          <w:top w:val="nil"/>
          <w:left w:val="nil"/>
          <w:bottom w:val="nil"/>
          <w:right w:val="nil"/>
          <w:between w:val="nil"/>
        </w:pBdr>
        <w:spacing w:after="0"/>
        <w:jc w:val="both"/>
        <w:rPr>
          <w:rFonts w:cs="Arial"/>
          <w:szCs w:val="24"/>
        </w:rPr>
      </w:pPr>
      <w:r w:rsidRPr="00BE065D">
        <w:rPr>
          <w:rFonts w:eastAsia="Verdana" w:cs="Arial"/>
          <w:color w:val="000000"/>
          <w:szCs w:val="24"/>
        </w:rPr>
        <w:t xml:space="preserve">all SARs received from </w:t>
      </w:r>
      <w:r w:rsidRPr="00BE065D">
        <w:rPr>
          <w:rFonts w:cs="Arial"/>
          <w:szCs w:val="24"/>
        </w:rPr>
        <w:t xml:space="preserve">Operator </w:t>
      </w:r>
      <w:r w:rsidRPr="00BE065D">
        <w:rPr>
          <w:rFonts w:eastAsia="Verdana" w:cs="Arial"/>
          <w:color w:val="000000"/>
          <w:szCs w:val="24"/>
        </w:rPr>
        <w:t>personnel;</w:t>
      </w:r>
    </w:p>
    <w:p w14:paraId="749EBB46" w14:textId="77777777" w:rsidR="004E2E7B" w:rsidRPr="00BE065D" w:rsidRDefault="004E2E7B" w:rsidP="004E2E7B">
      <w:pPr>
        <w:numPr>
          <w:ilvl w:val="0"/>
          <w:numId w:val="45"/>
        </w:numPr>
        <w:pBdr>
          <w:top w:val="nil"/>
          <w:left w:val="nil"/>
          <w:bottom w:val="nil"/>
          <w:right w:val="nil"/>
          <w:between w:val="nil"/>
        </w:pBdr>
        <w:spacing w:after="0"/>
        <w:jc w:val="both"/>
        <w:rPr>
          <w:rFonts w:cs="Arial"/>
          <w:szCs w:val="24"/>
        </w:rPr>
      </w:pPr>
      <w:r w:rsidRPr="00BE065D">
        <w:rPr>
          <w:rFonts w:eastAsia="Verdana" w:cs="Arial"/>
          <w:color w:val="000000"/>
          <w:szCs w:val="24"/>
        </w:rPr>
        <w:t xml:space="preserve">all documents which relate to the investigation of SARs received from </w:t>
      </w:r>
      <w:r w:rsidRPr="00BE065D">
        <w:rPr>
          <w:rFonts w:cs="Arial"/>
          <w:szCs w:val="24"/>
        </w:rPr>
        <w:t xml:space="preserve">Operator </w:t>
      </w:r>
      <w:r w:rsidRPr="00BE065D">
        <w:rPr>
          <w:rFonts w:eastAsia="Verdana" w:cs="Arial"/>
          <w:color w:val="000000"/>
          <w:szCs w:val="24"/>
        </w:rPr>
        <w:t>personnel, including but not limited to, financial records, system records, meeting notes and legal advice (whether internal or external);</w:t>
      </w:r>
    </w:p>
    <w:p w14:paraId="0883740E" w14:textId="77777777" w:rsidR="004E2E7B" w:rsidRPr="00BE065D" w:rsidRDefault="004E2E7B" w:rsidP="004E2E7B">
      <w:pPr>
        <w:numPr>
          <w:ilvl w:val="0"/>
          <w:numId w:val="45"/>
        </w:numPr>
        <w:pBdr>
          <w:top w:val="nil"/>
          <w:left w:val="nil"/>
          <w:bottom w:val="nil"/>
          <w:right w:val="nil"/>
          <w:between w:val="nil"/>
        </w:pBdr>
        <w:spacing w:after="0"/>
        <w:jc w:val="both"/>
        <w:rPr>
          <w:rFonts w:cs="Arial"/>
          <w:szCs w:val="24"/>
        </w:rPr>
      </w:pPr>
      <w:r w:rsidRPr="00BE065D">
        <w:rPr>
          <w:rFonts w:eastAsia="Verdana" w:cs="Arial"/>
          <w:color w:val="000000"/>
          <w:szCs w:val="24"/>
        </w:rPr>
        <w:t>all SARs made to the NCA and any subsequent correspondence with the NCA and other law enforcement agencies.</w:t>
      </w:r>
    </w:p>
    <w:p w14:paraId="3607E7DF" w14:textId="0727BBEF" w:rsidR="004E2E7B" w:rsidRPr="00253A07" w:rsidRDefault="004E2E7B" w:rsidP="00A33C9A">
      <w:pPr>
        <w:pStyle w:val="Heading2"/>
        <w:numPr>
          <w:ilvl w:val="0"/>
          <w:numId w:val="0"/>
        </w:numPr>
        <w:ind w:left="431" w:hanging="431"/>
        <w:jc w:val="both"/>
        <w:rPr>
          <w:rFonts w:ascii="Arial" w:hAnsi="Arial"/>
          <w:szCs w:val="24"/>
        </w:rPr>
      </w:pPr>
      <w:r w:rsidRPr="00253A07">
        <w:rPr>
          <w:rFonts w:ascii="Arial" w:hAnsi="Arial"/>
          <w:szCs w:val="24"/>
        </w:rPr>
        <w:lastRenderedPageBreak/>
        <w:t>Training</w:t>
      </w:r>
    </w:p>
    <w:p w14:paraId="49CD204C" w14:textId="77777777" w:rsidR="00F1452A" w:rsidRDefault="004E2E7B" w:rsidP="00F1452A">
      <w:pPr>
        <w:pBdr>
          <w:top w:val="nil"/>
          <w:left w:val="nil"/>
          <w:bottom w:val="nil"/>
          <w:right w:val="nil"/>
          <w:between w:val="nil"/>
        </w:pBdr>
        <w:jc w:val="both"/>
      </w:pPr>
      <w:r>
        <w:t xml:space="preserve">All new employees of </w:t>
      </w:r>
      <w:r w:rsidR="00A33C9A">
        <w:t>City of Lincoln Council</w:t>
      </w:r>
      <w:r>
        <w:t xml:space="preserve"> involved in the management or operation of the Operator’s lottery will receive training on this Policy as soon as practicable after their start date.</w:t>
      </w:r>
    </w:p>
    <w:p w14:paraId="5B777464" w14:textId="32823F8F" w:rsidR="004E2E7B" w:rsidRPr="00F1452A" w:rsidRDefault="004E2E7B" w:rsidP="00F1452A">
      <w:pPr>
        <w:pBdr>
          <w:top w:val="nil"/>
          <w:left w:val="nil"/>
          <w:bottom w:val="nil"/>
          <w:right w:val="nil"/>
          <w:between w:val="nil"/>
        </w:pBdr>
        <w:jc w:val="center"/>
        <w:rPr>
          <w:b/>
          <w:bCs/>
        </w:rPr>
      </w:pPr>
      <w:r w:rsidRPr="00F1452A">
        <w:rPr>
          <w:b/>
          <w:bCs/>
        </w:rPr>
        <w:t>Annex: Suspicious Activity Report Form</w:t>
      </w:r>
    </w:p>
    <w:tbl>
      <w:tblPr>
        <w:tblW w:w="102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882"/>
        <w:gridCol w:w="2221"/>
        <w:gridCol w:w="2977"/>
        <w:gridCol w:w="9"/>
      </w:tblGrid>
      <w:tr w:rsidR="004E2E7B" w14:paraId="14C5A164" w14:textId="77777777" w:rsidTr="0094769C">
        <w:trPr>
          <w:trHeight w:val="289"/>
        </w:trPr>
        <w:tc>
          <w:tcPr>
            <w:tcW w:w="10216" w:type="dxa"/>
            <w:gridSpan w:val="5"/>
          </w:tcPr>
          <w:p w14:paraId="47B20DBB" w14:textId="77777777" w:rsidR="004E2E7B" w:rsidRDefault="004E2E7B" w:rsidP="000E284C">
            <w:pPr>
              <w:jc w:val="center"/>
              <w:rPr>
                <w:b/>
                <w:sz w:val="28"/>
                <w:szCs w:val="28"/>
              </w:rPr>
            </w:pPr>
            <w:r>
              <w:rPr>
                <w:b/>
                <w:sz w:val="28"/>
                <w:szCs w:val="28"/>
              </w:rPr>
              <w:t>SUSPICIOUS ACTIVITY REPORT FORM</w:t>
            </w:r>
          </w:p>
        </w:tc>
      </w:tr>
      <w:tr w:rsidR="004E2E7B" w14:paraId="4BDDEEC9" w14:textId="77777777" w:rsidTr="0094769C">
        <w:tc>
          <w:tcPr>
            <w:tcW w:w="10216" w:type="dxa"/>
            <w:gridSpan w:val="5"/>
          </w:tcPr>
          <w:p w14:paraId="7CCD46BA" w14:textId="77777777" w:rsidR="004E2E7B" w:rsidRDefault="004E2E7B" w:rsidP="000E284C"/>
          <w:p w14:paraId="6A1F3FC2" w14:textId="77777777" w:rsidR="004E2E7B" w:rsidRDefault="004E2E7B" w:rsidP="000E284C">
            <w:pPr>
              <w:jc w:val="center"/>
            </w:pPr>
            <w:r>
              <w:t xml:space="preserve">Please complete this form and send it by email to the Operator’s MLRO and Legal </w:t>
            </w:r>
            <w:proofErr w:type="spellStart"/>
            <w:r>
              <w:t>Departmentl</w:t>
            </w:r>
            <w:proofErr w:type="spellEnd"/>
            <w:r>
              <w:t>.</w:t>
            </w:r>
          </w:p>
        </w:tc>
      </w:tr>
      <w:tr w:rsidR="004E2E7B" w14:paraId="4D53E1C1" w14:textId="77777777" w:rsidTr="0094769C">
        <w:trPr>
          <w:gridAfter w:val="1"/>
          <w:wAfter w:w="9" w:type="dxa"/>
        </w:trPr>
        <w:tc>
          <w:tcPr>
            <w:tcW w:w="2127" w:type="dxa"/>
          </w:tcPr>
          <w:p w14:paraId="1C1E71C9" w14:textId="77777777" w:rsidR="004E2E7B" w:rsidRDefault="004E2E7B" w:rsidP="000E284C">
            <w:pPr>
              <w:rPr>
                <w:b/>
              </w:rPr>
            </w:pPr>
            <w:r>
              <w:rPr>
                <w:b/>
              </w:rPr>
              <w:t>Name:</w:t>
            </w:r>
          </w:p>
          <w:p w14:paraId="56FFDA8D" w14:textId="77777777" w:rsidR="004E2E7B" w:rsidRDefault="004E2E7B" w:rsidP="000E284C">
            <w:pPr>
              <w:rPr>
                <w:b/>
              </w:rPr>
            </w:pPr>
          </w:p>
        </w:tc>
        <w:tc>
          <w:tcPr>
            <w:tcW w:w="2882" w:type="dxa"/>
          </w:tcPr>
          <w:p w14:paraId="30702558" w14:textId="77777777" w:rsidR="004E2E7B" w:rsidRDefault="004E2E7B" w:rsidP="000E284C"/>
        </w:tc>
        <w:tc>
          <w:tcPr>
            <w:tcW w:w="2221" w:type="dxa"/>
          </w:tcPr>
          <w:p w14:paraId="59557DCE" w14:textId="77777777" w:rsidR="004E2E7B" w:rsidRDefault="004E2E7B" w:rsidP="000E284C">
            <w:pPr>
              <w:rPr>
                <w:b/>
              </w:rPr>
            </w:pPr>
            <w:r>
              <w:rPr>
                <w:b/>
              </w:rPr>
              <w:t>Report date:</w:t>
            </w:r>
          </w:p>
          <w:p w14:paraId="3FC823B3" w14:textId="77777777" w:rsidR="004E2E7B" w:rsidRDefault="004E2E7B" w:rsidP="000E284C">
            <w:pPr>
              <w:rPr>
                <w:i/>
                <w:sz w:val="16"/>
                <w:szCs w:val="16"/>
              </w:rPr>
            </w:pPr>
            <w:r>
              <w:rPr>
                <w:i/>
                <w:sz w:val="16"/>
                <w:szCs w:val="16"/>
              </w:rPr>
              <w:t>The date that you are submitting this report.</w:t>
            </w:r>
          </w:p>
        </w:tc>
        <w:tc>
          <w:tcPr>
            <w:tcW w:w="2977" w:type="dxa"/>
          </w:tcPr>
          <w:p w14:paraId="7C0E5806" w14:textId="77777777" w:rsidR="004E2E7B" w:rsidRDefault="004E2E7B" w:rsidP="000E284C"/>
        </w:tc>
      </w:tr>
      <w:tr w:rsidR="004E2E7B" w14:paraId="214326C5" w14:textId="77777777" w:rsidTr="0094769C">
        <w:trPr>
          <w:gridAfter w:val="1"/>
          <w:wAfter w:w="9" w:type="dxa"/>
        </w:trPr>
        <w:tc>
          <w:tcPr>
            <w:tcW w:w="2127" w:type="dxa"/>
          </w:tcPr>
          <w:p w14:paraId="26088175" w14:textId="77777777" w:rsidR="004E2E7B" w:rsidRDefault="004E2E7B" w:rsidP="000E284C">
            <w:pPr>
              <w:rPr>
                <w:b/>
              </w:rPr>
            </w:pPr>
            <w:r>
              <w:rPr>
                <w:b/>
              </w:rPr>
              <w:t>Title:</w:t>
            </w:r>
          </w:p>
        </w:tc>
        <w:tc>
          <w:tcPr>
            <w:tcW w:w="2882" w:type="dxa"/>
          </w:tcPr>
          <w:p w14:paraId="2F5B1EE6" w14:textId="77777777" w:rsidR="004E2E7B" w:rsidRDefault="004E2E7B" w:rsidP="000E284C"/>
        </w:tc>
        <w:tc>
          <w:tcPr>
            <w:tcW w:w="2221" w:type="dxa"/>
          </w:tcPr>
          <w:p w14:paraId="55BD3CA3" w14:textId="77777777" w:rsidR="004E2E7B" w:rsidRDefault="004E2E7B" w:rsidP="000E284C">
            <w:pPr>
              <w:rPr>
                <w:b/>
              </w:rPr>
            </w:pPr>
            <w:r>
              <w:rPr>
                <w:b/>
              </w:rPr>
              <w:t>Suspicious activity dates(s):</w:t>
            </w:r>
          </w:p>
          <w:p w14:paraId="57CC264F" w14:textId="77777777" w:rsidR="004E2E7B" w:rsidRDefault="004E2E7B" w:rsidP="000E284C">
            <w:pPr>
              <w:rPr>
                <w:i/>
                <w:sz w:val="16"/>
                <w:szCs w:val="16"/>
              </w:rPr>
            </w:pPr>
            <w:r>
              <w:rPr>
                <w:i/>
                <w:sz w:val="16"/>
                <w:szCs w:val="16"/>
              </w:rPr>
              <w:t>Please be as accurate as possible based on the information currently available.</w:t>
            </w:r>
          </w:p>
        </w:tc>
        <w:tc>
          <w:tcPr>
            <w:tcW w:w="2977" w:type="dxa"/>
          </w:tcPr>
          <w:p w14:paraId="4DE69085" w14:textId="77777777" w:rsidR="004E2E7B" w:rsidRDefault="004E2E7B" w:rsidP="000E284C"/>
        </w:tc>
      </w:tr>
      <w:tr w:rsidR="004E2E7B" w14:paraId="2C572C4F" w14:textId="77777777" w:rsidTr="0094769C">
        <w:trPr>
          <w:gridAfter w:val="1"/>
          <w:wAfter w:w="9" w:type="dxa"/>
          <w:trHeight w:val="2725"/>
        </w:trPr>
        <w:tc>
          <w:tcPr>
            <w:tcW w:w="2127" w:type="dxa"/>
          </w:tcPr>
          <w:p w14:paraId="28330EFC" w14:textId="77777777" w:rsidR="004E2E7B" w:rsidRDefault="004E2E7B" w:rsidP="000E284C">
            <w:r>
              <w:t>Details of suspicious activity</w:t>
            </w:r>
          </w:p>
          <w:p w14:paraId="49D2B4F6" w14:textId="77777777" w:rsidR="004E2E7B" w:rsidRDefault="004E2E7B" w:rsidP="000E284C">
            <w:pPr>
              <w:rPr>
                <w:i/>
              </w:rPr>
            </w:pPr>
            <w:r>
              <w:rPr>
                <w:i/>
                <w:sz w:val="16"/>
                <w:szCs w:val="16"/>
              </w:rPr>
              <w:t>Please provide as much information as possible.</w:t>
            </w:r>
          </w:p>
        </w:tc>
        <w:tc>
          <w:tcPr>
            <w:tcW w:w="8080" w:type="dxa"/>
            <w:gridSpan w:val="3"/>
          </w:tcPr>
          <w:p w14:paraId="33750BEC" w14:textId="77777777" w:rsidR="004E2E7B" w:rsidRDefault="004E2E7B" w:rsidP="000E284C"/>
        </w:tc>
      </w:tr>
      <w:tr w:rsidR="004E2E7B" w14:paraId="4249C028" w14:textId="77777777" w:rsidTr="0094769C">
        <w:trPr>
          <w:gridAfter w:val="1"/>
          <w:wAfter w:w="9" w:type="dxa"/>
          <w:trHeight w:val="707"/>
        </w:trPr>
        <w:tc>
          <w:tcPr>
            <w:tcW w:w="2127" w:type="dxa"/>
          </w:tcPr>
          <w:p w14:paraId="274BA8CB" w14:textId="77777777" w:rsidR="004E2E7B" w:rsidRDefault="004E2E7B" w:rsidP="000E284C">
            <w:r>
              <w:t>Name(s) of suspected person(s)</w:t>
            </w:r>
          </w:p>
          <w:p w14:paraId="1C974246" w14:textId="77777777" w:rsidR="004E2E7B" w:rsidRDefault="004E2E7B" w:rsidP="000E284C">
            <w:pPr>
              <w:rPr>
                <w:i/>
                <w:sz w:val="16"/>
                <w:szCs w:val="16"/>
              </w:rPr>
            </w:pPr>
            <w:r>
              <w:rPr>
                <w:i/>
                <w:sz w:val="16"/>
                <w:szCs w:val="16"/>
              </w:rPr>
              <w:t>If you do not know the identity of suspected person(s), please write “Unknown”.</w:t>
            </w:r>
          </w:p>
        </w:tc>
        <w:tc>
          <w:tcPr>
            <w:tcW w:w="8080" w:type="dxa"/>
            <w:gridSpan w:val="3"/>
          </w:tcPr>
          <w:p w14:paraId="71D638B1" w14:textId="77777777" w:rsidR="004E2E7B" w:rsidRDefault="004E2E7B" w:rsidP="000E284C"/>
        </w:tc>
      </w:tr>
      <w:tr w:rsidR="004E2E7B" w14:paraId="29ECC50E" w14:textId="77777777" w:rsidTr="0094769C">
        <w:trPr>
          <w:gridAfter w:val="1"/>
          <w:wAfter w:w="9" w:type="dxa"/>
          <w:trHeight w:val="1277"/>
        </w:trPr>
        <w:tc>
          <w:tcPr>
            <w:tcW w:w="2127" w:type="dxa"/>
          </w:tcPr>
          <w:p w14:paraId="225DA110" w14:textId="77777777" w:rsidR="004E2E7B" w:rsidRDefault="004E2E7B" w:rsidP="000E284C">
            <w:r>
              <w:t>Records relevant to the suspicious activity</w:t>
            </w:r>
          </w:p>
          <w:p w14:paraId="7CF8B72E" w14:textId="77777777" w:rsidR="004E2E7B" w:rsidRDefault="004E2E7B" w:rsidP="000E284C">
            <w:r>
              <w:rPr>
                <w:i/>
                <w:sz w:val="16"/>
                <w:szCs w:val="16"/>
              </w:rPr>
              <w:t>Please list any records in your possession relevant to the suspicious</w:t>
            </w:r>
            <w:r>
              <w:t xml:space="preserve"> </w:t>
            </w:r>
            <w:r>
              <w:rPr>
                <w:i/>
                <w:sz w:val="16"/>
                <w:szCs w:val="16"/>
              </w:rPr>
              <w:t>activity.</w:t>
            </w:r>
          </w:p>
        </w:tc>
        <w:tc>
          <w:tcPr>
            <w:tcW w:w="8080" w:type="dxa"/>
            <w:gridSpan w:val="3"/>
          </w:tcPr>
          <w:p w14:paraId="6C984DC7" w14:textId="77777777" w:rsidR="004E2E7B" w:rsidRDefault="004E2E7B" w:rsidP="000E284C"/>
        </w:tc>
      </w:tr>
    </w:tbl>
    <w:p w14:paraId="7B506401" w14:textId="77777777" w:rsidR="004E2E7B" w:rsidRDefault="004E2E7B" w:rsidP="004E2E7B">
      <w:r>
        <w:br w:type="page"/>
      </w:r>
    </w:p>
    <w:p w14:paraId="0FA6A848" w14:textId="77777777" w:rsidR="00253A07" w:rsidRPr="00BE39DD" w:rsidRDefault="00253A07" w:rsidP="00253A07">
      <w:pPr>
        <w:jc w:val="center"/>
        <w:rPr>
          <w:rFonts w:cs="Arial"/>
          <w:b/>
          <w:color w:val="000000" w:themeColor="text1"/>
        </w:rPr>
      </w:pPr>
      <w:r w:rsidRPr="00BE39DD">
        <w:rPr>
          <w:rFonts w:cs="Arial"/>
          <w:b/>
          <w:color w:val="000000" w:themeColor="text1"/>
        </w:rPr>
        <w:lastRenderedPageBreak/>
        <w:t>Gambling Commission questions</w:t>
      </w:r>
      <w:r>
        <w:rPr>
          <w:rFonts w:cs="Arial"/>
          <w:b/>
          <w:color w:val="000000" w:themeColor="text1"/>
        </w:rPr>
        <w:t xml:space="preserve"> answered through the implementation of this policy.</w:t>
      </w:r>
    </w:p>
    <w:p w14:paraId="012A80DB" w14:textId="77777777" w:rsidR="004E2E7B" w:rsidRPr="00253A07" w:rsidRDefault="004E2E7B" w:rsidP="004E2E7B">
      <w:pPr>
        <w:jc w:val="both"/>
      </w:pPr>
      <w:r w:rsidRPr="00253A07">
        <w:t>Ensuring that the applicant’s business will be protected from being a source of crime or disorder, being associated with crime or disorder or being used to support crime.</w:t>
      </w:r>
    </w:p>
    <w:p w14:paraId="569DFAFE" w14:textId="77777777" w:rsidR="004E2E7B" w:rsidRPr="00253A07" w:rsidRDefault="004E2E7B" w:rsidP="004E2E7B">
      <w:pPr>
        <w:numPr>
          <w:ilvl w:val="0"/>
          <w:numId w:val="44"/>
        </w:numPr>
        <w:spacing w:before="240" w:after="0"/>
        <w:jc w:val="both"/>
      </w:pPr>
      <w:r w:rsidRPr="00253A07">
        <w:t>Are you aware of the Proceeds of Crime Act (POCA) and your responsibilities in relation to the Act?</w:t>
      </w:r>
    </w:p>
    <w:p w14:paraId="05B2CD47" w14:textId="77777777" w:rsidR="004E2E7B" w:rsidRPr="00253A07" w:rsidRDefault="004E2E7B" w:rsidP="004E2E7B">
      <w:pPr>
        <w:numPr>
          <w:ilvl w:val="0"/>
          <w:numId w:val="44"/>
        </w:numPr>
        <w:spacing w:after="0"/>
        <w:jc w:val="both"/>
      </w:pPr>
      <w:r w:rsidRPr="00253A07">
        <w:t>How will you ensure that you are not party to any illegal activities, for example, money laundering? What would you do if you suspect someone was attempting to use you as a way of laundering money? How would you try to detect if someone was attempting to pass counterfeit money and what would you do?</w:t>
      </w:r>
    </w:p>
    <w:p w14:paraId="3779C40E" w14:textId="77777777" w:rsidR="004E2E7B" w:rsidRPr="00253A07" w:rsidRDefault="004E2E7B" w:rsidP="004E2E7B">
      <w:pPr>
        <w:numPr>
          <w:ilvl w:val="0"/>
          <w:numId w:val="44"/>
        </w:numPr>
        <w:spacing w:after="0"/>
        <w:jc w:val="both"/>
      </w:pPr>
      <w:r w:rsidRPr="00253A07">
        <w:t>How will you protect your equipment from crime and criminal misuse?</w:t>
      </w:r>
    </w:p>
    <w:p w14:paraId="55632DD1" w14:textId="77777777" w:rsidR="004E2E7B" w:rsidRPr="00253A07" w:rsidRDefault="004E2E7B" w:rsidP="004E2E7B">
      <w:pPr>
        <w:numPr>
          <w:ilvl w:val="0"/>
          <w:numId w:val="44"/>
        </w:numPr>
        <w:spacing w:after="0"/>
        <w:jc w:val="both"/>
      </w:pPr>
      <w:r w:rsidRPr="00253A07">
        <w:t xml:space="preserve">Will you have CCTV or other crime prevention procedures in place? </w:t>
      </w:r>
    </w:p>
    <w:p w14:paraId="58E197DF" w14:textId="77777777" w:rsidR="004E2E7B" w:rsidRPr="00253A07" w:rsidRDefault="004E2E7B" w:rsidP="004E2E7B">
      <w:pPr>
        <w:numPr>
          <w:ilvl w:val="0"/>
          <w:numId w:val="44"/>
        </w:numPr>
        <w:spacing w:after="0"/>
        <w:jc w:val="both"/>
      </w:pPr>
      <w:r w:rsidRPr="00253A07">
        <w:t>What security measures will be in place for cash handling?</w:t>
      </w:r>
    </w:p>
    <w:p w14:paraId="618C23E5" w14:textId="77777777" w:rsidR="004E2E7B" w:rsidRPr="00253A07" w:rsidRDefault="004E2E7B" w:rsidP="004E2E7B">
      <w:pPr>
        <w:numPr>
          <w:ilvl w:val="0"/>
          <w:numId w:val="44"/>
        </w:numPr>
        <w:spacing w:after="0"/>
        <w:jc w:val="both"/>
      </w:pPr>
      <w:r w:rsidRPr="00253A07">
        <w:t>How will you monitor transactions and accounts for any suspicious activities?</w:t>
      </w:r>
    </w:p>
    <w:p w14:paraId="5849F8E2" w14:textId="77777777" w:rsidR="004E2E7B" w:rsidRPr="00253A07" w:rsidRDefault="004E2E7B" w:rsidP="004E2E7B">
      <w:pPr>
        <w:numPr>
          <w:ilvl w:val="0"/>
          <w:numId w:val="44"/>
        </w:numPr>
        <w:spacing w:after="0"/>
        <w:jc w:val="both"/>
      </w:pPr>
      <w:r w:rsidRPr="00253A07">
        <w:t>How will you ensure keys are kept securely (</w:t>
      </w:r>
      <w:proofErr w:type="spellStart"/>
      <w:r w:rsidRPr="00253A07">
        <w:t>eg</w:t>
      </w:r>
      <w:proofErr w:type="spellEnd"/>
      <w:r w:rsidRPr="00253A07">
        <w:t xml:space="preserve"> machine keys, keys for restricted access areas, money boxes)? </w:t>
      </w:r>
    </w:p>
    <w:p w14:paraId="28DDD723" w14:textId="77777777" w:rsidR="004E2E7B" w:rsidRPr="00253A07" w:rsidRDefault="004E2E7B" w:rsidP="004E2E7B">
      <w:pPr>
        <w:numPr>
          <w:ilvl w:val="0"/>
          <w:numId w:val="44"/>
        </w:numPr>
        <w:spacing w:after="0"/>
        <w:jc w:val="both"/>
      </w:pPr>
      <w:r w:rsidRPr="00253A07">
        <w:t>Will you have steps in place to prevent money lending between customers?</w:t>
      </w:r>
    </w:p>
    <w:p w14:paraId="619315CE" w14:textId="77777777" w:rsidR="004E2E7B" w:rsidRPr="00253A07" w:rsidRDefault="004E2E7B" w:rsidP="004E2E7B">
      <w:pPr>
        <w:numPr>
          <w:ilvl w:val="0"/>
          <w:numId w:val="44"/>
        </w:numPr>
        <w:spacing w:after="0"/>
        <w:jc w:val="both"/>
      </w:pPr>
      <w:r w:rsidRPr="00253A07">
        <w:t>How will you ensure there is no collusion between customers and staff?</w:t>
      </w:r>
    </w:p>
    <w:p w14:paraId="62B87399" w14:textId="77777777" w:rsidR="004E2E7B" w:rsidRPr="00253A07" w:rsidRDefault="004E2E7B" w:rsidP="004E2E7B">
      <w:pPr>
        <w:numPr>
          <w:ilvl w:val="0"/>
          <w:numId w:val="44"/>
        </w:numPr>
        <w:spacing w:after="0"/>
        <w:jc w:val="both"/>
      </w:pPr>
      <w:r w:rsidRPr="00253A07">
        <w:t>How would you deal with someone if you felt they were trying to cheat in any way?</w:t>
      </w:r>
    </w:p>
    <w:p w14:paraId="5937A6C6" w14:textId="77777777" w:rsidR="004E2E7B" w:rsidRPr="00253A07" w:rsidRDefault="004E2E7B" w:rsidP="004E2E7B">
      <w:pPr>
        <w:numPr>
          <w:ilvl w:val="0"/>
          <w:numId w:val="44"/>
        </w:numPr>
        <w:spacing w:after="0"/>
        <w:jc w:val="both"/>
      </w:pPr>
      <w:r w:rsidRPr="00253A07">
        <w:t>How would you deal with someone who you felt was under the influence of alcohol or drugs?</w:t>
      </w:r>
    </w:p>
    <w:p w14:paraId="4705CCE0" w14:textId="77777777" w:rsidR="004E2E7B" w:rsidRPr="00253A07" w:rsidRDefault="004E2E7B" w:rsidP="004E2E7B">
      <w:pPr>
        <w:numPr>
          <w:ilvl w:val="0"/>
          <w:numId w:val="44"/>
        </w:numPr>
        <w:spacing w:after="0"/>
        <w:jc w:val="both"/>
      </w:pPr>
      <w:r w:rsidRPr="00253A07">
        <w:t xml:space="preserve">How will you ensure that other companies you deal with are trustworthy and reputable? </w:t>
      </w:r>
    </w:p>
    <w:p w14:paraId="44918A23" w14:textId="77777777" w:rsidR="004E2E7B" w:rsidRPr="00253A07" w:rsidRDefault="004E2E7B" w:rsidP="004E2E7B">
      <w:pPr>
        <w:numPr>
          <w:ilvl w:val="0"/>
          <w:numId w:val="44"/>
        </w:numPr>
        <w:spacing w:after="0"/>
        <w:jc w:val="both"/>
      </w:pPr>
      <w:r w:rsidRPr="00253A07">
        <w:t>If it came to your attention that another operator or a staff member was operating in an illegal manner, what would you do?</w:t>
      </w:r>
    </w:p>
    <w:p w14:paraId="1E6D359C" w14:textId="77777777" w:rsidR="004E2E7B" w:rsidRPr="00253A07" w:rsidRDefault="004E2E7B" w:rsidP="004E2E7B">
      <w:pPr>
        <w:numPr>
          <w:ilvl w:val="0"/>
          <w:numId w:val="44"/>
        </w:numPr>
        <w:spacing w:after="0"/>
        <w:jc w:val="both"/>
      </w:pPr>
      <w:r w:rsidRPr="00253A07">
        <w:t>For remote operators, how will you ensure there is no peer to peer collusion (e.g. in poker rooms)?</w:t>
      </w:r>
    </w:p>
    <w:p w14:paraId="5EAE73CB" w14:textId="77777777" w:rsidR="004E2E7B" w:rsidRDefault="004E2E7B" w:rsidP="004E2E7B"/>
    <w:p w14:paraId="762868C6" w14:textId="77777777" w:rsidR="00FD28EC" w:rsidRDefault="00FD28EC" w:rsidP="005D6BAB">
      <w:pPr>
        <w:rPr>
          <w:rFonts w:cs="Arial"/>
        </w:rPr>
      </w:pPr>
    </w:p>
    <w:p w14:paraId="23740DFD" w14:textId="77777777" w:rsidR="00086961" w:rsidRPr="005D6BAB" w:rsidRDefault="00086961" w:rsidP="005D6BAB">
      <w:pPr>
        <w:rPr>
          <w:rFonts w:cs="Arial"/>
        </w:rPr>
      </w:pPr>
    </w:p>
    <w:sectPr w:rsidR="00086961" w:rsidRPr="005D6BAB" w:rsidSect="00344070">
      <w:headerReference w:type="default" r:id="rId14"/>
      <w:footerReference w:type="default" r:id="rId15"/>
      <w:pgSz w:w="11906" w:h="16838"/>
      <w:pgMar w:top="1440" w:right="1440" w:bottom="1440" w:left="1440" w:header="708" w:footer="708" w:gutter="0"/>
      <w:pgBorders w:offsetFrom="page">
        <w:top w:val="single" w:sz="24" w:space="24" w:color="F35D31"/>
        <w:left w:val="single" w:sz="24" w:space="24" w:color="F35D31"/>
        <w:bottom w:val="single" w:sz="24" w:space="24" w:color="F35D31"/>
        <w:right w:val="single" w:sz="24" w:space="24" w:color="F35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BDCB" w14:textId="77777777" w:rsidR="000B25B3" w:rsidRDefault="000B25B3" w:rsidP="00353C18">
      <w:pPr>
        <w:spacing w:after="0"/>
      </w:pPr>
      <w:r>
        <w:separator/>
      </w:r>
    </w:p>
  </w:endnote>
  <w:endnote w:type="continuationSeparator" w:id="0">
    <w:p w14:paraId="7058B8CB" w14:textId="77777777" w:rsidR="000B25B3" w:rsidRDefault="000B25B3" w:rsidP="00353C18">
      <w:pPr>
        <w:spacing w:after="0"/>
      </w:pPr>
      <w:r>
        <w:continuationSeparator/>
      </w:r>
    </w:p>
  </w:endnote>
  <w:endnote w:type="continuationNotice" w:id="1">
    <w:p w14:paraId="0B970079" w14:textId="77777777" w:rsidR="006E6ABE" w:rsidRDefault="006E6A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resias PCfont Z">
    <w:altName w:val="MS Gothic"/>
    <w:charset w:val="80"/>
    <w:family w:val="auto"/>
    <w:pitch w:val="variable"/>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249948"/>
      <w:docPartObj>
        <w:docPartGallery w:val="Page Numbers (Bottom of Page)"/>
        <w:docPartUnique/>
      </w:docPartObj>
    </w:sdtPr>
    <w:sdtEndPr>
      <w:rPr>
        <w:noProof/>
      </w:rPr>
    </w:sdtEndPr>
    <w:sdtContent>
      <w:p w14:paraId="7C912A5E" w14:textId="063FB222" w:rsidR="0094769C" w:rsidRDefault="009476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5679EA" w14:textId="59285D53" w:rsidR="0011581E" w:rsidRDefault="0011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EC2E" w14:textId="77777777" w:rsidR="000B25B3" w:rsidRDefault="000B25B3" w:rsidP="00353C18">
      <w:pPr>
        <w:spacing w:after="0"/>
      </w:pPr>
      <w:r>
        <w:separator/>
      </w:r>
    </w:p>
  </w:footnote>
  <w:footnote w:type="continuationSeparator" w:id="0">
    <w:p w14:paraId="43DBB5D6" w14:textId="77777777" w:rsidR="000B25B3" w:rsidRDefault="000B25B3" w:rsidP="00353C18">
      <w:pPr>
        <w:spacing w:after="0"/>
      </w:pPr>
      <w:r>
        <w:continuationSeparator/>
      </w:r>
    </w:p>
  </w:footnote>
  <w:footnote w:type="continuationNotice" w:id="1">
    <w:p w14:paraId="48688541" w14:textId="77777777" w:rsidR="006E6ABE" w:rsidRDefault="006E6ABE">
      <w:pPr>
        <w:spacing w:after="0"/>
      </w:pPr>
    </w:p>
  </w:footnote>
  <w:footnote w:id="2">
    <w:p w14:paraId="659D0F95" w14:textId="77777777" w:rsidR="004E2E7B" w:rsidRDefault="004E2E7B" w:rsidP="004E2E7B">
      <w:pPr>
        <w:pBdr>
          <w:top w:val="nil"/>
          <w:left w:val="nil"/>
          <w:bottom w:val="nil"/>
          <w:right w:val="nil"/>
          <w:between w:val="nil"/>
        </w:pBdr>
        <w:rPr>
          <w:color w:val="000000"/>
          <w:sz w:val="16"/>
          <w:szCs w:val="16"/>
        </w:rPr>
      </w:pPr>
      <w:r>
        <w:rPr>
          <w:rStyle w:val="FootnoteReference"/>
        </w:rPr>
        <w:footnoteRef/>
      </w:r>
      <w:r>
        <w:rPr>
          <w:rFonts w:ascii="Verdana" w:eastAsia="Verdana" w:hAnsi="Verdana" w:cs="Verdana"/>
          <w:color w:val="000000"/>
          <w:sz w:val="16"/>
          <w:szCs w:val="16"/>
        </w:rPr>
        <w:t xml:space="preserve"> s.327, POCA</w:t>
      </w:r>
    </w:p>
  </w:footnote>
  <w:footnote w:id="3">
    <w:p w14:paraId="556BA2FD" w14:textId="77777777" w:rsidR="004E2E7B" w:rsidRDefault="004E2E7B" w:rsidP="004E2E7B">
      <w:pPr>
        <w:pBdr>
          <w:top w:val="nil"/>
          <w:left w:val="nil"/>
          <w:bottom w:val="nil"/>
          <w:right w:val="nil"/>
          <w:between w:val="nil"/>
        </w:pBdr>
        <w:rPr>
          <w:color w:val="000000"/>
          <w:sz w:val="16"/>
          <w:szCs w:val="16"/>
        </w:rPr>
      </w:pPr>
      <w:r>
        <w:rPr>
          <w:rStyle w:val="FootnoteReference"/>
        </w:rPr>
        <w:footnoteRef/>
      </w:r>
      <w:r>
        <w:rPr>
          <w:rFonts w:ascii="Verdana" w:eastAsia="Verdana" w:hAnsi="Verdana" w:cs="Verdana"/>
          <w:color w:val="000000"/>
          <w:sz w:val="16"/>
          <w:szCs w:val="16"/>
        </w:rPr>
        <w:t xml:space="preserve"> s.328, POCA</w:t>
      </w:r>
    </w:p>
  </w:footnote>
  <w:footnote w:id="4">
    <w:p w14:paraId="1D58B847" w14:textId="77777777" w:rsidR="004E2E7B" w:rsidRDefault="004E2E7B" w:rsidP="004E2E7B">
      <w:pPr>
        <w:pBdr>
          <w:top w:val="nil"/>
          <w:left w:val="nil"/>
          <w:bottom w:val="nil"/>
          <w:right w:val="nil"/>
          <w:between w:val="nil"/>
        </w:pBdr>
        <w:rPr>
          <w:color w:val="000000"/>
        </w:rPr>
      </w:pPr>
      <w:r>
        <w:rPr>
          <w:rStyle w:val="FootnoteReference"/>
        </w:rPr>
        <w:footnoteRef/>
      </w:r>
      <w:r>
        <w:rPr>
          <w:rFonts w:ascii="Verdana" w:eastAsia="Verdana" w:hAnsi="Verdana" w:cs="Verdana"/>
          <w:color w:val="000000"/>
          <w:sz w:val="16"/>
          <w:szCs w:val="16"/>
        </w:rPr>
        <w:t xml:space="preserve"> s.329, POCA</w:t>
      </w:r>
    </w:p>
  </w:footnote>
  <w:footnote w:id="5">
    <w:p w14:paraId="6FA232A3" w14:textId="77777777" w:rsidR="004E2E7B" w:rsidRDefault="004E2E7B" w:rsidP="004E2E7B">
      <w:pPr>
        <w:pBdr>
          <w:top w:val="nil"/>
          <w:left w:val="nil"/>
          <w:bottom w:val="nil"/>
          <w:right w:val="nil"/>
          <w:between w:val="nil"/>
        </w:pBdr>
        <w:rPr>
          <w:color w:val="000000"/>
          <w:sz w:val="16"/>
          <w:szCs w:val="16"/>
        </w:rPr>
      </w:pPr>
      <w:r>
        <w:rPr>
          <w:rStyle w:val="FootnoteReference"/>
        </w:rPr>
        <w:footnoteRef/>
      </w:r>
      <w:r>
        <w:rPr>
          <w:rFonts w:ascii="Verdana" w:eastAsia="Verdana" w:hAnsi="Verdana" w:cs="Verdana"/>
          <w:color w:val="000000"/>
          <w:sz w:val="16"/>
          <w:szCs w:val="16"/>
        </w:rPr>
        <w:t xml:space="preserve"> ss.15-16, TA 2000</w:t>
      </w:r>
    </w:p>
  </w:footnote>
  <w:footnote w:id="6">
    <w:p w14:paraId="3C7D95EB" w14:textId="77777777" w:rsidR="004E2E7B" w:rsidRDefault="004E2E7B" w:rsidP="004E2E7B">
      <w:pPr>
        <w:pBdr>
          <w:top w:val="nil"/>
          <w:left w:val="nil"/>
          <w:bottom w:val="nil"/>
          <w:right w:val="nil"/>
          <w:between w:val="nil"/>
        </w:pBdr>
        <w:rPr>
          <w:color w:val="000000"/>
        </w:rPr>
      </w:pPr>
      <w:r>
        <w:rPr>
          <w:rStyle w:val="FootnoteReference"/>
        </w:rPr>
        <w:footnoteRef/>
      </w:r>
      <w:r>
        <w:rPr>
          <w:rFonts w:ascii="Verdana" w:eastAsia="Verdana" w:hAnsi="Verdana" w:cs="Verdana"/>
          <w:color w:val="000000"/>
          <w:sz w:val="16"/>
          <w:szCs w:val="16"/>
        </w:rPr>
        <w:t xml:space="preserve"> s.17, TA 2000</w:t>
      </w:r>
    </w:p>
  </w:footnote>
  <w:footnote w:id="7">
    <w:p w14:paraId="38ED3835" w14:textId="77777777" w:rsidR="004E2E7B" w:rsidRDefault="004E2E7B" w:rsidP="004E2E7B">
      <w:pPr>
        <w:pBdr>
          <w:top w:val="nil"/>
          <w:left w:val="nil"/>
          <w:bottom w:val="nil"/>
          <w:right w:val="nil"/>
          <w:between w:val="nil"/>
        </w:pBdr>
        <w:rPr>
          <w:color w:val="000000"/>
          <w:sz w:val="16"/>
          <w:szCs w:val="16"/>
        </w:rPr>
      </w:pPr>
      <w:r>
        <w:rPr>
          <w:rStyle w:val="FootnoteReference"/>
        </w:rPr>
        <w:footnoteRef/>
      </w:r>
      <w:r>
        <w:rPr>
          <w:rFonts w:ascii="Verdana" w:eastAsia="Verdana" w:hAnsi="Verdana" w:cs="Verdana"/>
          <w:color w:val="000000"/>
          <w:sz w:val="16"/>
          <w:szCs w:val="16"/>
        </w:rPr>
        <w:t xml:space="preserve"> s.18, TA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0098" w14:textId="77777777" w:rsidR="0011581E" w:rsidRDefault="0011581E" w:rsidP="0034407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590"/>
    <w:multiLevelType w:val="hybridMultilevel"/>
    <w:tmpl w:val="44863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231D1"/>
    <w:multiLevelType w:val="multilevel"/>
    <w:tmpl w:val="E37805B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872581"/>
    <w:multiLevelType w:val="multilevel"/>
    <w:tmpl w:val="DB7A9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9690E"/>
    <w:multiLevelType w:val="multilevel"/>
    <w:tmpl w:val="F4FE4F4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2075CA5"/>
    <w:multiLevelType w:val="multilevel"/>
    <w:tmpl w:val="C038BB7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9A4ABE"/>
    <w:multiLevelType w:val="multilevel"/>
    <w:tmpl w:val="590EE5E6"/>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944474"/>
    <w:multiLevelType w:val="multilevel"/>
    <w:tmpl w:val="8DCC5DA8"/>
    <w:lvl w:ilvl="0">
      <w:start w:val="1"/>
      <w:numFmt w:val="bullet"/>
      <w:lvlText w:val="●"/>
      <w:lvlJc w:val="left"/>
      <w:pPr>
        <w:ind w:left="720" w:hanging="360"/>
      </w:pPr>
      <w:rPr>
        <w:rFonts w:ascii="Arial" w:eastAsia="Noto Sans Symbols" w:hAnsi="Arial" w:cs="Arial" w:hint="default"/>
        <w:sz w:val="24"/>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45F06"/>
    <w:multiLevelType w:val="hybridMultilevel"/>
    <w:tmpl w:val="8452B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C1DFD"/>
    <w:multiLevelType w:val="multilevel"/>
    <w:tmpl w:val="5A668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F2538B"/>
    <w:multiLevelType w:val="hybridMultilevel"/>
    <w:tmpl w:val="60F28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D73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9860C5"/>
    <w:multiLevelType w:val="hybridMultilevel"/>
    <w:tmpl w:val="4088F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E49E6"/>
    <w:multiLevelType w:val="multilevel"/>
    <w:tmpl w:val="88F8F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6E3BE4"/>
    <w:multiLevelType w:val="multilevel"/>
    <w:tmpl w:val="7312EE9A"/>
    <w:lvl w:ilvl="0">
      <w:start w:val="1"/>
      <w:numFmt w:val="bullet"/>
      <w:lvlText w:val="●"/>
      <w:lvlJc w:val="left"/>
      <w:pPr>
        <w:ind w:left="720" w:hanging="360"/>
      </w:pPr>
      <w:rPr>
        <w:rFonts w:ascii="Arial" w:eastAsia="Noto Sans Symbols" w:hAnsi="Arial" w:cs="Arial" w:hint="default"/>
        <w:sz w:val="24"/>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4405C6"/>
    <w:multiLevelType w:val="hybridMultilevel"/>
    <w:tmpl w:val="4A8EBC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8D29B8"/>
    <w:multiLevelType w:val="hybridMultilevel"/>
    <w:tmpl w:val="54107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930DE"/>
    <w:multiLevelType w:val="hybridMultilevel"/>
    <w:tmpl w:val="EA905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72A2A"/>
    <w:multiLevelType w:val="hybridMultilevel"/>
    <w:tmpl w:val="7D5CD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5241D"/>
    <w:multiLevelType w:val="hybridMultilevel"/>
    <w:tmpl w:val="644405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5731C10"/>
    <w:multiLevelType w:val="hybridMultilevel"/>
    <w:tmpl w:val="71809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5DD67AF"/>
    <w:multiLevelType w:val="hybridMultilevel"/>
    <w:tmpl w:val="C14408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4048D6"/>
    <w:multiLevelType w:val="hybridMultilevel"/>
    <w:tmpl w:val="E40C5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E5D6F"/>
    <w:multiLevelType w:val="multilevel"/>
    <w:tmpl w:val="88466E9E"/>
    <w:lvl w:ilvl="0">
      <w:start w:val="4"/>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B791584"/>
    <w:multiLevelType w:val="hybridMultilevel"/>
    <w:tmpl w:val="C49AB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85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446F7C"/>
    <w:multiLevelType w:val="hybridMultilevel"/>
    <w:tmpl w:val="BE5C86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12885"/>
    <w:multiLevelType w:val="multilevel"/>
    <w:tmpl w:val="B5B44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58B7C88"/>
    <w:multiLevelType w:val="hybridMultilevel"/>
    <w:tmpl w:val="8C7CD7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6757CB2"/>
    <w:multiLevelType w:val="hybridMultilevel"/>
    <w:tmpl w:val="2EDABB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293A73"/>
    <w:multiLevelType w:val="multilevel"/>
    <w:tmpl w:val="03343B4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110D5B"/>
    <w:multiLevelType w:val="multilevel"/>
    <w:tmpl w:val="E37805B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E711B5"/>
    <w:multiLevelType w:val="multilevel"/>
    <w:tmpl w:val="E37805B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803395"/>
    <w:multiLevelType w:val="multilevel"/>
    <w:tmpl w:val="228A7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C763E8"/>
    <w:multiLevelType w:val="multilevel"/>
    <w:tmpl w:val="F11E98F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0639FB"/>
    <w:multiLevelType w:val="hybridMultilevel"/>
    <w:tmpl w:val="1316A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0F552B"/>
    <w:multiLevelType w:val="hybridMultilevel"/>
    <w:tmpl w:val="58E25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814922"/>
    <w:multiLevelType w:val="hybridMultilevel"/>
    <w:tmpl w:val="A8D81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D25C30"/>
    <w:multiLevelType w:val="hybridMultilevel"/>
    <w:tmpl w:val="0E0099BE"/>
    <w:lvl w:ilvl="0" w:tplc="AD6A610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74484B51"/>
    <w:multiLevelType w:val="hybridMultilevel"/>
    <w:tmpl w:val="4CD02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21B0A"/>
    <w:multiLevelType w:val="hybridMultilevel"/>
    <w:tmpl w:val="100E5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F27A6F"/>
    <w:multiLevelType w:val="hybridMultilevel"/>
    <w:tmpl w:val="59A8FE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495B58"/>
    <w:multiLevelType w:val="hybridMultilevel"/>
    <w:tmpl w:val="2E56E0B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98413C0"/>
    <w:multiLevelType w:val="multilevel"/>
    <w:tmpl w:val="EBE693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9EB0418"/>
    <w:multiLevelType w:val="multilevel"/>
    <w:tmpl w:val="5BC0522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7C620252"/>
    <w:multiLevelType w:val="hybridMultilevel"/>
    <w:tmpl w:val="63D68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36418"/>
    <w:multiLevelType w:val="multilevel"/>
    <w:tmpl w:val="E37805B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F7A3F95"/>
    <w:multiLevelType w:val="hybridMultilevel"/>
    <w:tmpl w:val="0E5AF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EB2AD3"/>
    <w:multiLevelType w:val="multilevel"/>
    <w:tmpl w:val="E37805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45649337">
    <w:abstractNumId w:val="33"/>
  </w:num>
  <w:num w:numId="2" w16cid:durableId="1070152806">
    <w:abstractNumId w:val="42"/>
  </w:num>
  <w:num w:numId="3" w16cid:durableId="2007128438">
    <w:abstractNumId w:val="19"/>
  </w:num>
  <w:num w:numId="4" w16cid:durableId="122895301">
    <w:abstractNumId w:val="3"/>
  </w:num>
  <w:num w:numId="5" w16cid:durableId="1574851380">
    <w:abstractNumId w:val="37"/>
  </w:num>
  <w:num w:numId="6" w16cid:durableId="1688828060">
    <w:abstractNumId w:val="18"/>
  </w:num>
  <w:num w:numId="7" w16cid:durableId="511531621">
    <w:abstractNumId w:val="20"/>
  </w:num>
  <w:num w:numId="8" w16cid:durableId="525216347">
    <w:abstractNumId w:val="14"/>
  </w:num>
  <w:num w:numId="9" w16cid:durableId="52242800">
    <w:abstractNumId w:val="27"/>
  </w:num>
  <w:num w:numId="10" w16cid:durableId="2135442082">
    <w:abstractNumId w:val="17"/>
  </w:num>
  <w:num w:numId="11" w16cid:durableId="341317609">
    <w:abstractNumId w:val="44"/>
  </w:num>
  <w:num w:numId="12" w16cid:durableId="1880511586">
    <w:abstractNumId w:val="21"/>
  </w:num>
  <w:num w:numId="13" w16cid:durableId="1863517593">
    <w:abstractNumId w:val="38"/>
  </w:num>
  <w:num w:numId="14" w16cid:durableId="963583803">
    <w:abstractNumId w:val="35"/>
  </w:num>
  <w:num w:numId="15" w16cid:durableId="640355428">
    <w:abstractNumId w:val="16"/>
  </w:num>
  <w:num w:numId="16" w16cid:durableId="1329748751">
    <w:abstractNumId w:val="9"/>
  </w:num>
  <w:num w:numId="17" w16cid:durableId="730886019">
    <w:abstractNumId w:val="29"/>
  </w:num>
  <w:num w:numId="18" w16cid:durableId="868639426">
    <w:abstractNumId w:val="43"/>
  </w:num>
  <w:num w:numId="19" w16cid:durableId="903948096">
    <w:abstractNumId w:val="26"/>
  </w:num>
  <w:num w:numId="20" w16cid:durableId="1945796493">
    <w:abstractNumId w:val="4"/>
  </w:num>
  <w:num w:numId="21" w16cid:durableId="459030571">
    <w:abstractNumId w:val="31"/>
  </w:num>
  <w:num w:numId="22" w16cid:durableId="1980306441">
    <w:abstractNumId w:val="30"/>
  </w:num>
  <w:num w:numId="23" w16cid:durableId="1079402955">
    <w:abstractNumId w:val="7"/>
  </w:num>
  <w:num w:numId="24" w16cid:durableId="1212109046">
    <w:abstractNumId w:val="23"/>
  </w:num>
  <w:num w:numId="25" w16cid:durableId="2053072159">
    <w:abstractNumId w:val="39"/>
  </w:num>
  <w:num w:numId="26" w16cid:durableId="970744003">
    <w:abstractNumId w:val="41"/>
  </w:num>
  <w:num w:numId="27" w16cid:durableId="1394699000">
    <w:abstractNumId w:val="1"/>
  </w:num>
  <w:num w:numId="28" w16cid:durableId="1912157813">
    <w:abstractNumId w:val="34"/>
  </w:num>
  <w:num w:numId="29" w16cid:durableId="361590048">
    <w:abstractNumId w:val="15"/>
  </w:num>
  <w:num w:numId="30" w16cid:durableId="659313364">
    <w:abstractNumId w:val="40"/>
  </w:num>
  <w:num w:numId="31" w16cid:durableId="667368900">
    <w:abstractNumId w:val="36"/>
  </w:num>
  <w:num w:numId="32" w16cid:durableId="762805144">
    <w:abstractNumId w:val="22"/>
  </w:num>
  <w:num w:numId="33" w16cid:durableId="29307781">
    <w:abstractNumId w:val="47"/>
  </w:num>
  <w:num w:numId="34" w16cid:durableId="166797521">
    <w:abstractNumId w:val="46"/>
  </w:num>
  <w:num w:numId="35" w16cid:durableId="2118865166">
    <w:abstractNumId w:val="45"/>
  </w:num>
  <w:num w:numId="36" w16cid:durableId="1685784501">
    <w:abstractNumId w:val="0"/>
  </w:num>
  <w:num w:numId="37" w16cid:durableId="1003436855">
    <w:abstractNumId w:val="11"/>
  </w:num>
  <w:num w:numId="38" w16cid:durableId="989404706">
    <w:abstractNumId w:val="28"/>
  </w:num>
  <w:num w:numId="39" w16cid:durableId="1967421382">
    <w:abstractNumId w:val="25"/>
  </w:num>
  <w:num w:numId="40" w16cid:durableId="375543768">
    <w:abstractNumId w:val="24"/>
  </w:num>
  <w:num w:numId="41" w16cid:durableId="1391345040">
    <w:abstractNumId w:val="10"/>
  </w:num>
  <w:num w:numId="42" w16cid:durableId="1200319264">
    <w:abstractNumId w:val="5"/>
  </w:num>
  <w:num w:numId="43" w16cid:durableId="184098881">
    <w:abstractNumId w:val="32"/>
  </w:num>
  <w:num w:numId="44" w16cid:durableId="627128512">
    <w:abstractNumId w:val="8"/>
  </w:num>
  <w:num w:numId="45" w16cid:durableId="1628005581">
    <w:abstractNumId w:val="12"/>
  </w:num>
  <w:num w:numId="46" w16cid:durableId="1174612757">
    <w:abstractNumId w:val="6"/>
  </w:num>
  <w:num w:numId="47" w16cid:durableId="170419075">
    <w:abstractNumId w:val="2"/>
  </w:num>
  <w:num w:numId="48" w16cid:durableId="156991921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01"/>
    <w:rsid w:val="00000F48"/>
    <w:rsid w:val="00003A05"/>
    <w:rsid w:val="0001696B"/>
    <w:rsid w:val="00027352"/>
    <w:rsid w:val="00031DAF"/>
    <w:rsid w:val="00036443"/>
    <w:rsid w:val="00036560"/>
    <w:rsid w:val="00055472"/>
    <w:rsid w:val="000620B4"/>
    <w:rsid w:val="0007696F"/>
    <w:rsid w:val="0007740B"/>
    <w:rsid w:val="000776DD"/>
    <w:rsid w:val="00086961"/>
    <w:rsid w:val="000A111B"/>
    <w:rsid w:val="000A2B9B"/>
    <w:rsid w:val="000B25B3"/>
    <w:rsid w:val="000B66CC"/>
    <w:rsid w:val="000B77E6"/>
    <w:rsid w:val="000C0407"/>
    <w:rsid w:val="000C0C10"/>
    <w:rsid w:val="000C1CDB"/>
    <w:rsid w:val="000D6BD7"/>
    <w:rsid w:val="000E3670"/>
    <w:rsid w:val="000F4047"/>
    <w:rsid w:val="000F66B0"/>
    <w:rsid w:val="00114E18"/>
    <w:rsid w:val="0011581E"/>
    <w:rsid w:val="0012755F"/>
    <w:rsid w:val="00132634"/>
    <w:rsid w:val="0014049E"/>
    <w:rsid w:val="00144094"/>
    <w:rsid w:val="00165478"/>
    <w:rsid w:val="0018106F"/>
    <w:rsid w:val="0018272B"/>
    <w:rsid w:val="001B0ADB"/>
    <w:rsid w:val="001B12F3"/>
    <w:rsid w:val="001B23DD"/>
    <w:rsid w:val="001C682E"/>
    <w:rsid w:val="001C6FEE"/>
    <w:rsid w:val="001D2A3A"/>
    <w:rsid w:val="001D69EE"/>
    <w:rsid w:val="001E0C67"/>
    <w:rsid w:val="00205497"/>
    <w:rsid w:val="00221C76"/>
    <w:rsid w:val="00224991"/>
    <w:rsid w:val="00226504"/>
    <w:rsid w:val="00226591"/>
    <w:rsid w:val="002322C7"/>
    <w:rsid w:val="0023620C"/>
    <w:rsid w:val="00250D83"/>
    <w:rsid w:val="0025355D"/>
    <w:rsid w:val="00253A07"/>
    <w:rsid w:val="0026366E"/>
    <w:rsid w:val="002706A6"/>
    <w:rsid w:val="0027564A"/>
    <w:rsid w:val="002A6E10"/>
    <w:rsid w:val="002B25A2"/>
    <w:rsid w:val="002B7CD7"/>
    <w:rsid w:val="002C1879"/>
    <w:rsid w:val="002D1749"/>
    <w:rsid w:val="002E1AFF"/>
    <w:rsid w:val="002F090F"/>
    <w:rsid w:val="002F2AD8"/>
    <w:rsid w:val="00301640"/>
    <w:rsid w:val="00301ADB"/>
    <w:rsid w:val="003109E9"/>
    <w:rsid w:val="00311A8B"/>
    <w:rsid w:val="00320F67"/>
    <w:rsid w:val="00335DB7"/>
    <w:rsid w:val="00336B14"/>
    <w:rsid w:val="00344070"/>
    <w:rsid w:val="00353C18"/>
    <w:rsid w:val="003542BC"/>
    <w:rsid w:val="003562D5"/>
    <w:rsid w:val="003653CB"/>
    <w:rsid w:val="003738FF"/>
    <w:rsid w:val="00374B27"/>
    <w:rsid w:val="00382392"/>
    <w:rsid w:val="00383CC9"/>
    <w:rsid w:val="00384E1F"/>
    <w:rsid w:val="00384F1C"/>
    <w:rsid w:val="00387A88"/>
    <w:rsid w:val="00392D6D"/>
    <w:rsid w:val="003A109D"/>
    <w:rsid w:val="003A19D0"/>
    <w:rsid w:val="003A1E67"/>
    <w:rsid w:val="003A6409"/>
    <w:rsid w:val="003B4853"/>
    <w:rsid w:val="003C3FA9"/>
    <w:rsid w:val="003D118F"/>
    <w:rsid w:val="003D39B1"/>
    <w:rsid w:val="003F709E"/>
    <w:rsid w:val="00404387"/>
    <w:rsid w:val="004114FC"/>
    <w:rsid w:val="0042371D"/>
    <w:rsid w:val="00425E3F"/>
    <w:rsid w:val="00436B11"/>
    <w:rsid w:val="00447FD8"/>
    <w:rsid w:val="004502A1"/>
    <w:rsid w:val="00457412"/>
    <w:rsid w:val="004605E2"/>
    <w:rsid w:val="004624E2"/>
    <w:rsid w:val="00472C84"/>
    <w:rsid w:val="004902B0"/>
    <w:rsid w:val="004C001C"/>
    <w:rsid w:val="004C7E19"/>
    <w:rsid w:val="004D1987"/>
    <w:rsid w:val="004E2E7B"/>
    <w:rsid w:val="004E3812"/>
    <w:rsid w:val="004E583D"/>
    <w:rsid w:val="004E7363"/>
    <w:rsid w:val="004F2BCF"/>
    <w:rsid w:val="004F403A"/>
    <w:rsid w:val="004F64A6"/>
    <w:rsid w:val="005073F0"/>
    <w:rsid w:val="0051166C"/>
    <w:rsid w:val="00517CDA"/>
    <w:rsid w:val="005313D8"/>
    <w:rsid w:val="005317AA"/>
    <w:rsid w:val="00533E68"/>
    <w:rsid w:val="00537E76"/>
    <w:rsid w:val="00546566"/>
    <w:rsid w:val="00565B0E"/>
    <w:rsid w:val="0057235A"/>
    <w:rsid w:val="00582612"/>
    <w:rsid w:val="005934E0"/>
    <w:rsid w:val="005A69A5"/>
    <w:rsid w:val="005B5AB8"/>
    <w:rsid w:val="005B601A"/>
    <w:rsid w:val="005D6BAB"/>
    <w:rsid w:val="005E5309"/>
    <w:rsid w:val="005E6817"/>
    <w:rsid w:val="005F2716"/>
    <w:rsid w:val="0060243B"/>
    <w:rsid w:val="0060460C"/>
    <w:rsid w:val="006067FA"/>
    <w:rsid w:val="006072A2"/>
    <w:rsid w:val="006134E2"/>
    <w:rsid w:val="006143FB"/>
    <w:rsid w:val="00625684"/>
    <w:rsid w:val="00633E3F"/>
    <w:rsid w:val="00645FBE"/>
    <w:rsid w:val="006461EA"/>
    <w:rsid w:val="006537D6"/>
    <w:rsid w:val="00660491"/>
    <w:rsid w:val="00663371"/>
    <w:rsid w:val="00674DAC"/>
    <w:rsid w:val="006823B9"/>
    <w:rsid w:val="00683BC7"/>
    <w:rsid w:val="006B0286"/>
    <w:rsid w:val="006B537B"/>
    <w:rsid w:val="006D4FD7"/>
    <w:rsid w:val="006E6ABE"/>
    <w:rsid w:val="006F523A"/>
    <w:rsid w:val="007023F3"/>
    <w:rsid w:val="00705521"/>
    <w:rsid w:val="00720E7D"/>
    <w:rsid w:val="007228D2"/>
    <w:rsid w:val="007439A6"/>
    <w:rsid w:val="007439B9"/>
    <w:rsid w:val="00744A1F"/>
    <w:rsid w:val="00753719"/>
    <w:rsid w:val="00772B91"/>
    <w:rsid w:val="00773C3A"/>
    <w:rsid w:val="00782E6C"/>
    <w:rsid w:val="00786759"/>
    <w:rsid w:val="00790487"/>
    <w:rsid w:val="007A1041"/>
    <w:rsid w:val="007A563C"/>
    <w:rsid w:val="007B7537"/>
    <w:rsid w:val="007C0CA6"/>
    <w:rsid w:val="007C7583"/>
    <w:rsid w:val="007D1B2B"/>
    <w:rsid w:val="007D5876"/>
    <w:rsid w:val="007E3171"/>
    <w:rsid w:val="007E4D6C"/>
    <w:rsid w:val="007F0786"/>
    <w:rsid w:val="007F7F03"/>
    <w:rsid w:val="00806AD1"/>
    <w:rsid w:val="00825F53"/>
    <w:rsid w:val="008338B0"/>
    <w:rsid w:val="00863CB0"/>
    <w:rsid w:val="0087783F"/>
    <w:rsid w:val="0088443C"/>
    <w:rsid w:val="008A38F6"/>
    <w:rsid w:val="008A3A1A"/>
    <w:rsid w:val="008B3D96"/>
    <w:rsid w:val="008B7704"/>
    <w:rsid w:val="008C4BB8"/>
    <w:rsid w:val="008D1FA5"/>
    <w:rsid w:val="008F0E1B"/>
    <w:rsid w:val="008F2FCC"/>
    <w:rsid w:val="00903197"/>
    <w:rsid w:val="00907AC4"/>
    <w:rsid w:val="00931ADA"/>
    <w:rsid w:val="009436B9"/>
    <w:rsid w:val="0094769C"/>
    <w:rsid w:val="00963C7F"/>
    <w:rsid w:val="009663DB"/>
    <w:rsid w:val="00970D09"/>
    <w:rsid w:val="00972A4F"/>
    <w:rsid w:val="00997104"/>
    <w:rsid w:val="00997499"/>
    <w:rsid w:val="009A112F"/>
    <w:rsid w:val="009A6D82"/>
    <w:rsid w:val="009C5466"/>
    <w:rsid w:val="009E5996"/>
    <w:rsid w:val="009F4129"/>
    <w:rsid w:val="009F4168"/>
    <w:rsid w:val="00A173BD"/>
    <w:rsid w:val="00A249E8"/>
    <w:rsid w:val="00A33C9A"/>
    <w:rsid w:val="00A33DE7"/>
    <w:rsid w:val="00A37C22"/>
    <w:rsid w:val="00A65308"/>
    <w:rsid w:val="00A80887"/>
    <w:rsid w:val="00AE1C9E"/>
    <w:rsid w:val="00AE7F0D"/>
    <w:rsid w:val="00B0184D"/>
    <w:rsid w:val="00B030E2"/>
    <w:rsid w:val="00B04C5A"/>
    <w:rsid w:val="00B17FFC"/>
    <w:rsid w:val="00B21859"/>
    <w:rsid w:val="00B25A06"/>
    <w:rsid w:val="00B31920"/>
    <w:rsid w:val="00B40FE0"/>
    <w:rsid w:val="00B44821"/>
    <w:rsid w:val="00B56A9F"/>
    <w:rsid w:val="00B72493"/>
    <w:rsid w:val="00B81658"/>
    <w:rsid w:val="00BC1001"/>
    <w:rsid w:val="00BC5ADC"/>
    <w:rsid w:val="00BC6F17"/>
    <w:rsid w:val="00BD0302"/>
    <w:rsid w:val="00BD17F7"/>
    <w:rsid w:val="00BD2808"/>
    <w:rsid w:val="00BE065D"/>
    <w:rsid w:val="00BE27C9"/>
    <w:rsid w:val="00BF2BDD"/>
    <w:rsid w:val="00C00F92"/>
    <w:rsid w:val="00C02C17"/>
    <w:rsid w:val="00C15ED0"/>
    <w:rsid w:val="00C25703"/>
    <w:rsid w:val="00C36A8B"/>
    <w:rsid w:val="00C454FF"/>
    <w:rsid w:val="00C46307"/>
    <w:rsid w:val="00C501A7"/>
    <w:rsid w:val="00C65203"/>
    <w:rsid w:val="00C671D5"/>
    <w:rsid w:val="00C70B2B"/>
    <w:rsid w:val="00C87629"/>
    <w:rsid w:val="00C914C5"/>
    <w:rsid w:val="00CD4B86"/>
    <w:rsid w:val="00CE3A1E"/>
    <w:rsid w:val="00CF584E"/>
    <w:rsid w:val="00CF7C9D"/>
    <w:rsid w:val="00D02A57"/>
    <w:rsid w:val="00D03B8C"/>
    <w:rsid w:val="00D044A1"/>
    <w:rsid w:val="00D21325"/>
    <w:rsid w:val="00D52E28"/>
    <w:rsid w:val="00D5620B"/>
    <w:rsid w:val="00D630BF"/>
    <w:rsid w:val="00D85164"/>
    <w:rsid w:val="00D94EB6"/>
    <w:rsid w:val="00D957D4"/>
    <w:rsid w:val="00D97EDB"/>
    <w:rsid w:val="00DA4C48"/>
    <w:rsid w:val="00DB09BA"/>
    <w:rsid w:val="00DB5C15"/>
    <w:rsid w:val="00DC60F0"/>
    <w:rsid w:val="00DD219B"/>
    <w:rsid w:val="00DE1698"/>
    <w:rsid w:val="00DE6F00"/>
    <w:rsid w:val="00DF6B86"/>
    <w:rsid w:val="00DF73C2"/>
    <w:rsid w:val="00E053C9"/>
    <w:rsid w:val="00E0726D"/>
    <w:rsid w:val="00E35D79"/>
    <w:rsid w:val="00E35E29"/>
    <w:rsid w:val="00E43A66"/>
    <w:rsid w:val="00E5032D"/>
    <w:rsid w:val="00E5066C"/>
    <w:rsid w:val="00E50FA4"/>
    <w:rsid w:val="00E553D4"/>
    <w:rsid w:val="00E603D4"/>
    <w:rsid w:val="00E637E5"/>
    <w:rsid w:val="00E73EA3"/>
    <w:rsid w:val="00E76D0B"/>
    <w:rsid w:val="00E80A18"/>
    <w:rsid w:val="00E81C90"/>
    <w:rsid w:val="00E83535"/>
    <w:rsid w:val="00E96ABF"/>
    <w:rsid w:val="00E96D5E"/>
    <w:rsid w:val="00EA3CE8"/>
    <w:rsid w:val="00EA74B6"/>
    <w:rsid w:val="00EC4341"/>
    <w:rsid w:val="00EE086C"/>
    <w:rsid w:val="00EE425C"/>
    <w:rsid w:val="00F03B35"/>
    <w:rsid w:val="00F04993"/>
    <w:rsid w:val="00F1452A"/>
    <w:rsid w:val="00F2082C"/>
    <w:rsid w:val="00F50C2B"/>
    <w:rsid w:val="00F51320"/>
    <w:rsid w:val="00F5422F"/>
    <w:rsid w:val="00F6201B"/>
    <w:rsid w:val="00F6321A"/>
    <w:rsid w:val="00F87B93"/>
    <w:rsid w:val="00F925B6"/>
    <w:rsid w:val="00FA1DBA"/>
    <w:rsid w:val="00FD28EC"/>
    <w:rsid w:val="00FD4EDF"/>
    <w:rsid w:val="00FE0460"/>
    <w:rsid w:val="00FE3287"/>
    <w:rsid w:val="00FE7CE0"/>
    <w:rsid w:val="00FF069F"/>
    <w:rsid w:val="00FF2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817777A"/>
  <w15:docId w15:val="{15373A6B-977D-4B11-98AC-E9B1705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FF"/>
    <w:pPr>
      <w:spacing w:after="240" w:line="240" w:lineRule="auto"/>
    </w:pPr>
    <w:rPr>
      <w:rFonts w:ascii="Arial" w:hAnsi="Arial"/>
      <w:sz w:val="24"/>
    </w:rPr>
  </w:style>
  <w:style w:type="paragraph" w:styleId="Heading1">
    <w:name w:val="heading 1"/>
    <w:aliases w:val="h1,1,heading1,Heading,Numbered - 1,ARC 1,q,Heading 2-SOW,Gp Heading,H1,section,heading 1.1,dd heading 1,dh1,Part,Chapter Heading,Section Heading,KJL:Main,Subhead A,Chapter Headline,a,Main heading,Main heading1,Level 1,Level 11,II+,I,Heading1"/>
    <w:basedOn w:val="Normal"/>
    <w:next w:val="Normal"/>
    <w:link w:val="Heading1Char"/>
    <w:qFormat/>
    <w:rsid w:val="003738FF"/>
    <w:pPr>
      <w:keepNext/>
      <w:keepLines/>
      <w:numPr>
        <w:numId w:val="1"/>
      </w:numPr>
      <w:outlineLvl w:val="0"/>
    </w:pPr>
    <w:rPr>
      <w:rFonts w:eastAsiaTheme="majorEastAsia" w:cs="Arial"/>
      <w:b/>
      <w:bCs/>
      <w:sz w:val="28"/>
      <w:szCs w:val="28"/>
    </w:rPr>
  </w:style>
  <w:style w:type="paragraph" w:styleId="Heading2">
    <w:name w:val="heading 2"/>
    <w:aliases w:val="h2,Level2,Heading 2 Char Char Char Char Char Char + (Complex) Bold Char,Heading 2 Char Char Char Char Char Char + (Complex) Bold,Section,Numbered - 2,ARC 2,Para2,heading2,2,headi,h21,h22,21,H2,w,heading 2,headline,side,l2,???,T,Major"/>
    <w:basedOn w:val="Heading1"/>
    <w:next w:val="Normal"/>
    <w:link w:val="Heading2Char"/>
    <w:unhideWhenUsed/>
    <w:qFormat/>
    <w:rsid w:val="00C671D5"/>
    <w:pPr>
      <w:numPr>
        <w:ilvl w:val="1"/>
      </w:numPr>
      <w:spacing w:before="240"/>
      <w:ind w:left="431" w:hanging="431"/>
      <w:outlineLvl w:val="1"/>
    </w:pPr>
    <w:rPr>
      <w:rFonts w:ascii="Arial Bold" w:hAnsi="Arial Bold"/>
      <w:sz w:val="24"/>
    </w:rPr>
  </w:style>
  <w:style w:type="paragraph" w:styleId="Heading3">
    <w:name w:val="heading 3"/>
    <w:aliases w:val="Sub-section,Sub-Section,ARC 3,3,h3,heading3,e,e1,e2,e3,e4,e5,e6,e7,e8,e9,e10,heading 3,Underrubrik2,Para Heading 3,Annotationen,Level 1 - 1,KJL:2nd Level,Subhead B,(Alt+3),(Alt+3)1,(Alt+3)2,(Alt+3)3,(Alt+3)4,(Alt+3)5,(Alt+3)6,(Alt+3)11,subhead"/>
    <w:basedOn w:val="Normal"/>
    <w:next w:val="Normal"/>
    <w:link w:val="Heading3Char"/>
    <w:unhideWhenUsed/>
    <w:qFormat/>
    <w:rsid w:val="0008696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aliases w:val="h4,4,Numbered - 4,ARC 4,r,r1,r2,r3,r4,r5,r6,r7,r8,r9,r10,heading 4,heading 41,r11,r12,heading 42,r21,heading 411,r111,r13,heading 43,r22,heading 412,r112,heading 44,r14,r23,heading 413,r113,bullet,bl,bb,Subsection,Level 2 - a,KJL:3rd Level,H41"/>
    <w:basedOn w:val="Normal"/>
    <w:next w:val="Normal"/>
    <w:link w:val="Heading4Char"/>
    <w:qFormat/>
    <w:rsid w:val="00D21325"/>
    <w:pPr>
      <w:keepNext/>
      <w:tabs>
        <w:tab w:val="num" w:pos="365"/>
      </w:tabs>
      <w:spacing w:before="240"/>
      <w:ind w:left="365" w:hanging="864"/>
      <w:outlineLvl w:val="3"/>
    </w:pPr>
    <w:rPr>
      <w:rFonts w:ascii="Arial Bold" w:eastAsia="Times New Roman" w:hAnsi="Arial Bold" w:cs="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00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BC1001"/>
    <w:rPr>
      <w:color w:val="0000FF" w:themeColor="hyperlink"/>
      <w:u w:val="single"/>
    </w:rPr>
  </w:style>
  <w:style w:type="character" w:customStyle="1" w:styleId="Heading1Char">
    <w:name w:val="Heading 1 Char"/>
    <w:aliases w:val="h1 Char,1 Char,heading1 Char,Heading Char,Numbered - 1 Char,ARC 1 Char,q Char,Heading 2-SOW Char,Gp Heading Char,H1 Char,section Char,heading 1.1 Char,dd heading 1 Char,dh1 Char,Part Char,Chapter Heading Char,Section Heading Char,a Char"/>
    <w:basedOn w:val="DefaultParagraphFont"/>
    <w:link w:val="Heading1"/>
    <w:rsid w:val="003738FF"/>
    <w:rPr>
      <w:rFonts w:ascii="Arial" w:eastAsiaTheme="majorEastAsia" w:hAnsi="Arial" w:cs="Arial"/>
      <w:b/>
      <w:bCs/>
      <w:sz w:val="28"/>
      <w:szCs w:val="28"/>
    </w:rPr>
  </w:style>
  <w:style w:type="paragraph" w:styleId="ListParagraph">
    <w:name w:val="List Paragraph"/>
    <w:basedOn w:val="Normal"/>
    <w:uiPriority w:val="34"/>
    <w:qFormat/>
    <w:rsid w:val="00BC6F17"/>
    <w:pPr>
      <w:ind w:left="720"/>
      <w:contextualSpacing/>
    </w:pPr>
  </w:style>
  <w:style w:type="character" w:customStyle="1" w:styleId="Heading2Char">
    <w:name w:val="Heading 2 Char"/>
    <w:aliases w:val="h2 Char,Level2 Char,Heading 2 Char Char Char Char Char Char + (Complex) Bold Char Char,Heading 2 Char Char Char Char Char Char + (Complex) Bold Char1,Section Char,Numbered - 2 Char,ARC 2 Char,Para2 Char,heading2 Char,2 Char,headi Char"/>
    <w:basedOn w:val="DefaultParagraphFont"/>
    <w:link w:val="Heading2"/>
    <w:rsid w:val="00C671D5"/>
    <w:rPr>
      <w:rFonts w:ascii="Arial Bold" w:eastAsiaTheme="majorEastAsia" w:hAnsi="Arial Bold" w:cs="Arial"/>
      <w:b/>
      <w:bCs/>
      <w:sz w:val="24"/>
      <w:szCs w:val="28"/>
    </w:rPr>
  </w:style>
  <w:style w:type="paragraph" w:styleId="TOCHeading">
    <w:name w:val="TOC Heading"/>
    <w:basedOn w:val="Heading1"/>
    <w:next w:val="Normal"/>
    <w:uiPriority w:val="39"/>
    <w:unhideWhenUsed/>
    <w:qFormat/>
    <w:rsid w:val="007E4D6C"/>
    <w:pPr>
      <w:outlineLvl w:val="9"/>
    </w:pPr>
    <w:rPr>
      <w:lang w:val="en-US" w:eastAsia="ja-JP"/>
    </w:rPr>
  </w:style>
  <w:style w:type="paragraph" w:styleId="TOC1">
    <w:name w:val="toc 1"/>
    <w:basedOn w:val="Normal"/>
    <w:next w:val="Normal"/>
    <w:autoRedefine/>
    <w:uiPriority w:val="39"/>
    <w:unhideWhenUsed/>
    <w:rsid w:val="007E4D6C"/>
    <w:pPr>
      <w:spacing w:after="100"/>
    </w:pPr>
  </w:style>
  <w:style w:type="paragraph" w:styleId="TOC2">
    <w:name w:val="toc 2"/>
    <w:basedOn w:val="Normal"/>
    <w:next w:val="Normal"/>
    <w:autoRedefine/>
    <w:uiPriority w:val="39"/>
    <w:unhideWhenUsed/>
    <w:rsid w:val="007E4D6C"/>
    <w:pPr>
      <w:spacing w:after="100"/>
      <w:ind w:left="220"/>
    </w:pPr>
  </w:style>
  <w:style w:type="paragraph" w:styleId="BalloonText">
    <w:name w:val="Balloon Text"/>
    <w:basedOn w:val="Normal"/>
    <w:link w:val="BalloonTextChar"/>
    <w:semiHidden/>
    <w:unhideWhenUsed/>
    <w:rsid w:val="007E4D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6C"/>
    <w:rPr>
      <w:rFonts w:ascii="Tahoma" w:hAnsi="Tahoma" w:cs="Tahoma"/>
      <w:sz w:val="16"/>
      <w:szCs w:val="16"/>
    </w:rPr>
  </w:style>
  <w:style w:type="character" w:styleId="BookTitle">
    <w:name w:val="Book Title"/>
    <w:basedOn w:val="DefaultParagraphFont"/>
    <w:uiPriority w:val="33"/>
    <w:qFormat/>
    <w:rsid w:val="00CE3A1E"/>
    <w:rPr>
      <w:b/>
      <w:bCs/>
      <w:smallCaps/>
      <w:spacing w:val="5"/>
    </w:rPr>
  </w:style>
  <w:style w:type="paragraph" w:styleId="Header">
    <w:name w:val="header"/>
    <w:basedOn w:val="Normal"/>
    <w:link w:val="HeaderChar"/>
    <w:unhideWhenUsed/>
    <w:rsid w:val="00353C18"/>
    <w:pPr>
      <w:tabs>
        <w:tab w:val="center" w:pos="4513"/>
        <w:tab w:val="right" w:pos="9026"/>
      </w:tabs>
      <w:spacing w:after="0"/>
    </w:pPr>
  </w:style>
  <w:style w:type="character" w:customStyle="1" w:styleId="HeaderChar">
    <w:name w:val="Header Char"/>
    <w:basedOn w:val="DefaultParagraphFont"/>
    <w:link w:val="Header"/>
    <w:uiPriority w:val="99"/>
    <w:rsid w:val="00353C18"/>
  </w:style>
  <w:style w:type="paragraph" w:styleId="Footer">
    <w:name w:val="footer"/>
    <w:basedOn w:val="Normal"/>
    <w:link w:val="FooterChar"/>
    <w:uiPriority w:val="99"/>
    <w:unhideWhenUsed/>
    <w:rsid w:val="00353C18"/>
    <w:pPr>
      <w:tabs>
        <w:tab w:val="center" w:pos="4513"/>
        <w:tab w:val="right" w:pos="9026"/>
      </w:tabs>
      <w:spacing w:after="0"/>
    </w:pPr>
  </w:style>
  <w:style w:type="character" w:customStyle="1" w:styleId="FooterChar">
    <w:name w:val="Footer Char"/>
    <w:basedOn w:val="DefaultParagraphFont"/>
    <w:link w:val="Footer"/>
    <w:uiPriority w:val="99"/>
    <w:rsid w:val="00353C18"/>
  </w:style>
  <w:style w:type="paragraph" w:styleId="Title">
    <w:name w:val="Title"/>
    <w:basedOn w:val="Normal"/>
    <w:next w:val="Normal"/>
    <w:link w:val="TitleChar"/>
    <w:qFormat/>
    <w:rsid w:val="001D2A3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D2A3A"/>
    <w:rPr>
      <w:rFonts w:asciiTheme="majorHAnsi" w:eastAsiaTheme="majorEastAsia" w:hAnsiTheme="majorHAnsi" w:cstheme="majorBidi"/>
      <w:spacing w:val="-10"/>
      <w:kern w:val="28"/>
      <w:sz w:val="56"/>
      <w:szCs w:val="56"/>
    </w:rPr>
  </w:style>
  <w:style w:type="character" w:customStyle="1" w:styleId="Heading3Char">
    <w:name w:val="Heading 3 Char"/>
    <w:aliases w:val="Sub-section Char,Sub-Section Char,ARC 3 Char,3 Char,h3 Char,heading3 Char,e Char,e1 Char,e2 Char,e3 Char,e4 Char,e5 Char,e6 Char,e7 Char,e8 Char,e9 Char,e10 Char,heading 3 Char,Underrubrik2 Char,Para Heading 3 Char,Annotationen Char"/>
    <w:basedOn w:val="DefaultParagraphFont"/>
    <w:link w:val="Heading3"/>
    <w:uiPriority w:val="9"/>
    <w:rsid w:val="00086961"/>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4 Char,Numbered - 4 Char,ARC 4 Char,r Char,r1 Char,r2 Char,r3 Char,r4 Char,r5 Char,r6 Char,r7 Char,r8 Char,r9 Char,r10 Char,heading 4 Char,heading 41 Char,r11 Char,r12 Char,heading 42 Char,r21 Char,heading 411 Char,r111 Char"/>
    <w:basedOn w:val="DefaultParagraphFont"/>
    <w:link w:val="Heading4"/>
    <w:rsid w:val="00D21325"/>
    <w:rPr>
      <w:rFonts w:ascii="Arial Bold" w:eastAsia="Times New Roman" w:hAnsi="Arial Bold" w:cs="Times New Roman"/>
      <w:b/>
      <w:bCs/>
      <w:szCs w:val="24"/>
    </w:rPr>
  </w:style>
  <w:style w:type="paragraph" w:styleId="BodyText3">
    <w:name w:val="Body Text 3"/>
    <w:basedOn w:val="Normal"/>
    <w:link w:val="BodyText3Char"/>
    <w:semiHidden/>
    <w:unhideWhenUsed/>
    <w:rsid w:val="00E73EA3"/>
    <w:pPr>
      <w:autoSpaceDE w:val="0"/>
      <w:autoSpaceDN w:val="0"/>
      <w:adjustRightInd w:val="0"/>
      <w:spacing w:after="0"/>
      <w:jc w:val="both"/>
    </w:pPr>
    <w:rPr>
      <w:rFonts w:ascii="Helvetica" w:eastAsia="Times New Roman" w:hAnsi="Helvetica" w:cs="Helvetica"/>
      <w:sz w:val="21"/>
      <w:szCs w:val="21"/>
      <w:lang w:val="en-US"/>
    </w:rPr>
  </w:style>
  <w:style w:type="character" w:customStyle="1" w:styleId="BodyText3Char">
    <w:name w:val="Body Text 3 Char"/>
    <w:basedOn w:val="DefaultParagraphFont"/>
    <w:link w:val="BodyText3"/>
    <w:semiHidden/>
    <w:rsid w:val="00E73EA3"/>
    <w:rPr>
      <w:rFonts w:ascii="Helvetica" w:eastAsia="Times New Roman" w:hAnsi="Helvetica" w:cs="Helvetica"/>
      <w:sz w:val="21"/>
      <w:szCs w:val="21"/>
      <w:lang w:val="en-US"/>
    </w:rPr>
  </w:style>
  <w:style w:type="paragraph" w:customStyle="1" w:styleId="TableContents">
    <w:name w:val="Table Contents"/>
    <w:basedOn w:val="BodyText"/>
    <w:rsid w:val="00E73EA3"/>
    <w:pPr>
      <w:suppressLineNumbers/>
      <w:suppressAutoHyphens/>
      <w:spacing w:before="57" w:after="0" w:line="200" w:lineRule="atLeast"/>
    </w:pPr>
    <w:rPr>
      <w:rFonts w:ascii="Tiresias PCfont Z" w:eastAsia="Times New Roman" w:hAnsi="Tiresias PCfont Z" w:cs="Times New Roman"/>
      <w:sz w:val="21"/>
      <w:szCs w:val="20"/>
      <w:lang w:eastAsia="ar-SA"/>
    </w:rPr>
  </w:style>
  <w:style w:type="table" w:styleId="TableGrid">
    <w:name w:val="Table Grid"/>
    <w:basedOn w:val="TableNormal"/>
    <w:rsid w:val="00E73EA3"/>
    <w:pPr>
      <w:tabs>
        <w:tab w:val="num" w:pos="360"/>
      </w:tab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E73EA3"/>
    <w:pPr>
      <w:spacing w:after="120"/>
    </w:pPr>
  </w:style>
  <w:style w:type="character" w:customStyle="1" w:styleId="BodyTextChar">
    <w:name w:val="Body Text Char"/>
    <w:basedOn w:val="DefaultParagraphFont"/>
    <w:link w:val="BodyText"/>
    <w:uiPriority w:val="99"/>
    <w:semiHidden/>
    <w:rsid w:val="00E73EA3"/>
    <w:rPr>
      <w:rFonts w:ascii="Arial" w:hAnsi="Arial"/>
      <w:sz w:val="24"/>
    </w:rPr>
  </w:style>
  <w:style w:type="character" w:styleId="CommentReference">
    <w:name w:val="annotation reference"/>
    <w:basedOn w:val="DefaultParagraphFont"/>
    <w:uiPriority w:val="99"/>
    <w:unhideWhenUsed/>
    <w:rsid w:val="000B66CC"/>
    <w:rPr>
      <w:sz w:val="16"/>
      <w:szCs w:val="16"/>
    </w:rPr>
  </w:style>
  <w:style w:type="paragraph" w:styleId="CommentText">
    <w:name w:val="annotation text"/>
    <w:basedOn w:val="Normal"/>
    <w:link w:val="CommentTextChar"/>
    <w:uiPriority w:val="99"/>
    <w:unhideWhenUsed/>
    <w:rsid w:val="000B66CC"/>
    <w:rPr>
      <w:sz w:val="20"/>
      <w:szCs w:val="20"/>
    </w:rPr>
  </w:style>
  <w:style w:type="character" w:customStyle="1" w:styleId="CommentTextChar">
    <w:name w:val="Comment Text Char"/>
    <w:basedOn w:val="DefaultParagraphFont"/>
    <w:link w:val="CommentText"/>
    <w:uiPriority w:val="99"/>
    <w:rsid w:val="000B66CC"/>
    <w:rPr>
      <w:rFonts w:ascii="Arial" w:hAnsi="Arial"/>
      <w:sz w:val="20"/>
      <w:szCs w:val="20"/>
    </w:rPr>
  </w:style>
  <w:style w:type="paragraph" w:styleId="CommentSubject">
    <w:name w:val="annotation subject"/>
    <w:basedOn w:val="CommentText"/>
    <w:next w:val="CommentText"/>
    <w:link w:val="CommentSubjectChar"/>
    <w:unhideWhenUsed/>
    <w:rsid w:val="000B66CC"/>
    <w:rPr>
      <w:b/>
      <w:bCs/>
    </w:rPr>
  </w:style>
  <w:style w:type="character" w:customStyle="1" w:styleId="CommentSubjectChar">
    <w:name w:val="Comment Subject Char"/>
    <w:basedOn w:val="CommentTextChar"/>
    <w:link w:val="CommentSubject"/>
    <w:rsid w:val="000B66CC"/>
    <w:rPr>
      <w:rFonts w:ascii="Arial" w:hAnsi="Arial"/>
      <w:b/>
      <w:bCs/>
      <w:sz w:val="20"/>
      <w:szCs w:val="20"/>
    </w:rPr>
  </w:style>
  <w:style w:type="paragraph" w:customStyle="1" w:styleId="Pa0">
    <w:name w:val="Pa0"/>
    <w:basedOn w:val="Default"/>
    <w:next w:val="Default"/>
    <w:uiPriority w:val="99"/>
    <w:rsid w:val="00344070"/>
    <w:pPr>
      <w:widowControl w:val="0"/>
      <w:spacing w:line="241" w:lineRule="atLeast"/>
    </w:pPr>
    <w:rPr>
      <w:rFonts w:ascii="Gill Sans MT" w:eastAsia="Times New Roman" w:hAnsi="Gill Sans MT" w:cs="Times New Roman"/>
      <w:color w:val="auto"/>
      <w:lang w:eastAsia="en-GB"/>
    </w:rPr>
  </w:style>
  <w:style w:type="paragraph" w:styleId="List">
    <w:name w:val="List"/>
    <w:basedOn w:val="BodyText"/>
    <w:rsid w:val="00E5032D"/>
    <w:pPr>
      <w:suppressAutoHyphens/>
      <w:spacing w:before="57" w:after="0" w:line="200" w:lineRule="atLeast"/>
    </w:pPr>
    <w:rPr>
      <w:rFonts w:eastAsia="Times New Roman" w:cs="Tahoma"/>
      <w:sz w:val="21"/>
      <w:szCs w:val="20"/>
      <w:lang w:eastAsia="ar-SA"/>
    </w:rPr>
  </w:style>
  <w:style w:type="paragraph" w:styleId="BodyTextIndent">
    <w:name w:val="Body Text Indent"/>
    <w:basedOn w:val="Normal"/>
    <w:link w:val="BodyTextIndentChar"/>
    <w:unhideWhenUsed/>
    <w:rsid w:val="005D6BAB"/>
    <w:pPr>
      <w:spacing w:after="120"/>
      <w:ind w:left="283"/>
    </w:pPr>
  </w:style>
  <w:style w:type="character" w:customStyle="1" w:styleId="BodyTextIndentChar">
    <w:name w:val="Body Text Indent Char"/>
    <w:basedOn w:val="DefaultParagraphFont"/>
    <w:link w:val="BodyTextIndent"/>
    <w:uiPriority w:val="99"/>
    <w:semiHidden/>
    <w:rsid w:val="005D6BAB"/>
    <w:rPr>
      <w:rFonts w:ascii="Arial" w:hAnsi="Arial"/>
      <w:sz w:val="24"/>
    </w:rPr>
  </w:style>
  <w:style w:type="character" w:styleId="PageNumber">
    <w:name w:val="page number"/>
    <w:basedOn w:val="DefaultParagraphFont"/>
    <w:rsid w:val="005D6BAB"/>
  </w:style>
  <w:style w:type="paragraph" w:styleId="Revision">
    <w:name w:val="Revision"/>
    <w:hidden/>
    <w:uiPriority w:val="99"/>
    <w:semiHidden/>
    <w:rsid w:val="005D6BAB"/>
    <w:pPr>
      <w:spacing w:after="0" w:line="240" w:lineRule="auto"/>
    </w:pPr>
    <w:rPr>
      <w:rFonts w:ascii="Times New Roman" w:eastAsia="Times New Roman" w:hAnsi="Times New Roman" w:cs="Times New Roman"/>
      <w:sz w:val="24"/>
      <w:szCs w:val="24"/>
    </w:rPr>
  </w:style>
  <w:style w:type="paragraph" w:customStyle="1" w:styleId="Pa1">
    <w:name w:val="Pa1"/>
    <w:basedOn w:val="Default"/>
    <w:next w:val="Default"/>
    <w:rsid w:val="00FF294F"/>
    <w:pPr>
      <w:widowControl w:val="0"/>
      <w:spacing w:line="241" w:lineRule="atLeast"/>
    </w:pPr>
    <w:rPr>
      <w:rFonts w:ascii="Gill Sans MT" w:eastAsia="Times New Roman" w:hAnsi="Gill Sans MT" w:cs="Times New Roman"/>
      <w:color w:val="auto"/>
      <w:lang w:eastAsia="en-GB"/>
    </w:rPr>
  </w:style>
  <w:style w:type="character" w:customStyle="1" w:styleId="A2">
    <w:name w:val="A2"/>
    <w:rsid w:val="00FF294F"/>
    <w:rPr>
      <w:rFonts w:ascii="Arial" w:hAnsi="Arial"/>
      <w:b/>
      <w:color w:val="221E1F"/>
      <w:sz w:val="20"/>
    </w:rPr>
  </w:style>
  <w:style w:type="paragraph" w:styleId="NormalWeb">
    <w:name w:val="Normal (Web)"/>
    <w:basedOn w:val="Normal"/>
    <w:uiPriority w:val="99"/>
    <w:semiHidden/>
    <w:unhideWhenUsed/>
    <w:rsid w:val="00790487"/>
    <w:pPr>
      <w:spacing w:before="100" w:beforeAutospacing="1" w:after="100" w:afterAutospacing="1"/>
    </w:pPr>
    <w:rPr>
      <w:rFonts w:ascii="Times New Roman" w:eastAsia="Times New Roman" w:hAnsi="Times New Roman" w:cs="Times New Roman"/>
      <w:szCs w:val="24"/>
      <w:lang w:eastAsia="en-GB"/>
    </w:rPr>
  </w:style>
  <w:style w:type="character" w:styleId="FootnoteReference">
    <w:name w:val="footnote reference"/>
    <w:basedOn w:val="DefaultParagraphFont"/>
    <w:uiPriority w:val="99"/>
    <w:semiHidden/>
    <w:unhideWhenUsed/>
    <w:rsid w:val="004E2E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6362">
      <w:bodyDiv w:val="1"/>
      <w:marLeft w:val="0"/>
      <w:marRight w:val="0"/>
      <w:marTop w:val="0"/>
      <w:marBottom w:val="0"/>
      <w:divBdr>
        <w:top w:val="none" w:sz="0" w:space="0" w:color="auto"/>
        <w:left w:val="none" w:sz="0" w:space="0" w:color="auto"/>
        <w:bottom w:val="none" w:sz="0" w:space="0" w:color="auto"/>
        <w:right w:val="none" w:sz="0" w:space="0" w:color="auto"/>
      </w:divBdr>
    </w:div>
    <w:div w:id="395057044">
      <w:bodyDiv w:val="1"/>
      <w:marLeft w:val="0"/>
      <w:marRight w:val="0"/>
      <w:marTop w:val="0"/>
      <w:marBottom w:val="0"/>
      <w:divBdr>
        <w:top w:val="none" w:sz="0" w:space="0" w:color="auto"/>
        <w:left w:val="none" w:sz="0" w:space="0" w:color="auto"/>
        <w:bottom w:val="none" w:sz="0" w:space="0" w:color="auto"/>
        <w:right w:val="none" w:sz="0" w:space="0" w:color="auto"/>
      </w:divBdr>
    </w:div>
    <w:div w:id="637418137">
      <w:bodyDiv w:val="1"/>
      <w:marLeft w:val="0"/>
      <w:marRight w:val="0"/>
      <w:marTop w:val="0"/>
      <w:marBottom w:val="0"/>
      <w:divBdr>
        <w:top w:val="none" w:sz="0" w:space="0" w:color="auto"/>
        <w:left w:val="none" w:sz="0" w:space="0" w:color="auto"/>
        <w:bottom w:val="none" w:sz="0" w:space="0" w:color="auto"/>
        <w:right w:val="none" w:sz="0" w:space="0" w:color="auto"/>
      </w:divBdr>
    </w:div>
    <w:div w:id="1025129673">
      <w:bodyDiv w:val="1"/>
      <w:marLeft w:val="0"/>
      <w:marRight w:val="0"/>
      <w:marTop w:val="0"/>
      <w:marBottom w:val="0"/>
      <w:divBdr>
        <w:top w:val="none" w:sz="0" w:space="0" w:color="auto"/>
        <w:left w:val="none" w:sz="0" w:space="0" w:color="auto"/>
        <w:bottom w:val="none" w:sz="0" w:space="0" w:color="auto"/>
        <w:right w:val="none" w:sz="0" w:space="0" w:color="auto"/>
      </w:divBdr>
    </w:div>
    <w:div w:id="1044016483">
      <w:bodyDiv w:val="1"/>
      <w:marLeft w:val="0"/>
      <w:marRight w:val="0"/>
      <w:marTop w:val="0"/>
      <w:marBottom w:val="0"/>
      <w:divBdr>
        <w:top w:val="none" w:sz="0" w:space="0" w:color="auto"/>
        <w:left w:val="none" w:sz="0" w:space="0" w:color="auto"/>
        <w:bottom w:val="none" w:sz="0" w:space="0" w:color="auto"/>
        <w:right w:val="none" w:sz="0" w:space="0" w:color="auto"/>
      </w:divBdr>
    </w:div>
    <w:div w:id="1135558939">
      <w:bodyDiv w:val="1"/>
      <w:marLeft w:val="0"/>
      <w:marRight w:val="0"/>
      <w:marTop w:val="0"/>
      <w:marBottom w:val="0"/>
      <w:divBdr>
        <w:top w:val="none" w:sz="0" w:space="0" w:color="auto"/>
        <w:left w:val="none" w:sz="0" w:space="0" w:color="auto"/>
        <w:bottom w:val="none" w:sz="0" w:space="0" w:color="auto"/>
        <w:right w:val="none" w:sz="0" w:space="0" w:color="auto"/>
      </w:divBdr>
    </w:div>
    <w:div w:id="1181894529">
      <w:bodyDiv w:val="1"/>
      <w:marLeft w:val="0"/>
      <w:marRight w:val="0"/>
      <w:marTop w:val="0"/>
      <w:marBottom w:val="0"/>
      <w:divBdr>
        <w:top w:val="none" w:sz="0" w:space="0" w:color="auto"/>
        <w:left w:val="none" w:sz="0" w:space="0" w:color="auto"/>
        <w:bottom w:val="none" w:sz="0" w:space="0" w:color="auto"/>
        <w:right w:val="none" w:sz="0" w:space="0" w:color="auto"/>
      </w:divBdr>
    </w:div>
    <w:div w:id="1249390013">
      <w:bodyDiv w:val="1"/>
      <w:marLeft w:val="0"/>
      <w:marRight w:val="0"/>
      <w:marTop w:val="0"/>
      <w:marBottom w:val="0"/>
      <w:divBdr>
        <w:top w:val="none" w:sz="0" w:space="0" w:color="auto"/>
        <w:left w:val="none" w:sz="0" w:space="0" w:color="auto"/>
        <w:bottom w:val="none" w:sz="0" w:space="0" w:color="auto"/>
        <w:right w:val="none" w:sz="0" w:space="0" w:color="auto"/>
      </w:divBdr>
    </w:div>
    <w:div w:id="1301032620">
      <w:bodyDiv w:val="1"/>
      <w:marLeft w:val="0"/>
      <w:marRight w:val="0"/>
      <w:marTop w:val="0"/>
      <w:marBottom w:val="0"/>
      <w:divBdr>
        <w:top w:val="none" w:sz="0" w:space="0" w:color="auto"/>
        <w:left w:val="none" w:sz="0" w:space="0" w:color="auto"/>
        <w:bottom w:val="none" w:sz="0" w:space="0" w:color="auto"/>
        <w:right w:val="none" w:sz="0" w:space="0" w:color="auto"/>
      </w:divBdr>
    </w:div>
    <w:div w:id="1329823132">
      <w:bodyDiv w:val="1"/>
      <w:marLeft w:val="0"/>
      <w:marRight w:val="0"/>
      <w:marTop w:val="0"/>
      <w:marBottom w:val="0"/>
      <w:divBdr>
        <w:top w:val="none" w:sz="0" w:space="0" w:color="auto"/>
        <w:left w:val="none" w:sz="0" w:space="0" w:color="auto"/>
        <w:bottom w:val="none" w:sz="0" w:space="0" w:color="auto"/>
        <w:right w:val="none" w:sz="0" w:space="0" w:color="auto"/>
      </w:divBdr>
    </w:div>
    <w:div w:id="1351297551">
      <w:bodyDiv w:val="1"/>
      <w:marLeft w:val="0"/>
      <w:marRight w:val="0"/>
      <w:marTop w:val="0"/>
      <w:marBottom w:val="0"/>
      <w:divBdr>
        <w:top w:val="none" w:sz="0" w:space="0" w:color="auto"/>
        <w:left w:val="none" w:sz="0" w:space="0" w:color="auto"/>
        <w:bottom w:val="none" w:sz="0" w:space="0" w:color="auto"/>
        <w:right w:val="none" w:sz="0" w:space="0" w:color="auto"/>
      </w:divBdr>
    </w:div>
    <w:div w:id="1384015307">
      <w:bodyDiv w:val="1"/>
      <w:marLeft w:val="0"/>
      <w:marRight w:val="0"/>
      <w:marTop w:val="0"/>
      <w:marBottom w:val="0"/>
      <w:divBdr>
        <w:top w:val="none" w:sz="0" w:space="0" w:color="auto"/>
        <w:left w:val="none" w:sz="0" w:space="0" w:color="auto"/>
        <w:bottom w:val="none" w:sz="0" w:space="0" w:color="auto"/>
        <w:right w:val="none" w:sz="0" w:space="0" w:color="auto"/>
      </w:divBdr>
    </w:div>
    <w:div w:id="1627613262">
      <w:bodyDiv w:val="1"/>
      <w:marLeft w:val="0"/>
      <w:marRight w:val="0"/>
      <w:marTop w:val="0"/>
      <w:marBottom w:val="0"/>
      <w:divBdr>
        <w:top w:val="none" w:sz="0" w:space="0" w:color="auto"/>
        <w:left w:val="none" w:sz="0" w:space="0" w:color="auto"/>
        <w:bottom w:val="none" w:sz="0" w:space="0" w:color="auto"/>
        <w:right w:val="none" w:sz="0" w:space="0" w:color="auto"/>
      </w:divBdr>
    </w:div>
    <w:div w:id="19732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mblingcommission.gov.uk/guidance/The-money-laundering-and-terrorist-financing-risks-within-the-British-gambling-industry/society-lotteries-and-external-lottery-managers-remote-and-non-remo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ndom.org/wh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90058A647E374AAD69188D7A68DF3E" ma:contentTypeVersion="17" ma:contentTypeDescription="Create a new document." ma:contentTypeScope="" ma:versionID="ffe40f7159e50cb3e3bd49b5bf2918f2">
  <xsd:schema xmlns:xsd="http://www.w3.org/2001/XMLSchema" xmlns:xs="http://www.w3.org/2001/XMLSchema" xmlns:p="http://schemas.microsoft.com/office/2006/metadata/properties" xmlns:ns2="f35a47f3-df74-43da-8574-64ce0c73e168" xmlns:ns3="2d0c4add-2891-4248-b4a5-78e8769f0834" targetNamespace="http://schemas.microsoft.com/office/2006/metadata/properties" ma:root="true" ma:fieldsID="5d7895eee9e0106e77473e7b9d125007" ns2:_="" ns3:_="">
    <xsd:import namespace="f35a47f3-df74-43da-8574-64ce0c73e168"/>
    <xsd:import namespace="2d0c4add-2891-4248-b4a5-78e8769f0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a47f3-df74-43da-8574-64ce0c73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c4add-2891-4248-b4a5-78e8769f08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e34e6d-5c03-4ae0-940e-0db0dac93492}" ma:internalName="TaxCatchAll" ma:showField="CatchAllData" ma:web="2d0c4add-2891-4248-b4a5-78e8769f0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5a47f3-df74-43da-8574-64ce0c73e168">
      <Terms xmlns="http://schemas.microsoft.com/office/infopath/2007/PartnerControls"/>
    </lcf76f155ced4ddcb4097134ff3c332f>
    <TaxCatchAll xmlns="2d0c4add-2891-4248-b4a5-78e8769f0834" xsi:nil="true"/>
  </documentManagement>
</p:properties>
</file>

<file path=customXml/itemProps1.xml><?xml version="1.0" encoding="utf-8"?>
<ds:datastoreItem xmlns:ds="http://schemas.openxmlformats.org/officeDocument/2006/customXml" ds:itemID="{72FCE46C-C6DF-421F-A1F8-98F347161A24}">
  <ds:schemaRefs>
    <ds:schemaRef ds:uri="http://schemas.openxmlformats.org/officeDocument/2006/bibliography"/>
  </ds:schemaRefs>
</ds:datastoreItem>
</file>

<file path=customXml/itemProps2.xml><?xml version="1.0" encoding="utf-8"?>
<ds:datastoreItem xmlns:ds="http://schemas.openxmlformats.org/officeDocument/2006/customXml" ds:itemID="{0FD26338-06A8-4FA1-A79C-D15DA40F7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a47f3-df74-43da-8574-64ce0c73e168"/>
    <ds:schemaRef ds:uri="2d0c4add-2891-4248-b4a5-78e8769f0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F8A37-D0EA-4484-A4EF-3FE184A797F7}">
  <ds:schemaRefs>
    <ds:schemaRef ds:uri="http://schemas.microsoft.com/sharepoint/v3/contenttype/forms"/>
  </ds:schemaRefs>
</ds:datastoreItem>
</file>

<file path=customXml/itemProps4.xml><?xml version="1.0" encoding="utf-8"?>
<ds:datastoreItem xmlns:ds="http://schemas.openxmlformats.org/officeDocument/2006/customXml" ds:itemID="{6FA1119E-4943-4FD9-8B4A-29FC0CC563D6}">
  <ds:schemaRefs>
    <ds:schemaRef ds:uri="http://schemas.microsoft.com/office/2006/metadata/properties"/>
    <ds:schemaRef ds:uri="http://schemas.microsoft.com/office/infopath/2007/PartnerControls"/>
    <ds:schemaRef ds:uri="f35a47f3-df74-43da-8574-64ce0c73e168"/>
    <ds:schemaRef ds:uri="2d0c4add-2891-4248-b4a5-78e8769f0834"/>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Records Management Policy</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Policy</dc:title>
  <dc:subject>Information Management</dc:subject>
  <dc:creator>Steve Anderson</dc:creator>
  <cp:lastModifiedBy>Graham Rose</cp:lastModifiedBy>
  <cp:revision>60</cp:revision>
  <cp:lastPrinted>2016-05-27T14:33:00Z</cp:lastPrinted>
  <dcterms:created xsi:type="dcterms:W3CDTF">2023-09-14T12:26:00Z</dcterms:created>
  <dcterms:modified xsi:type="dcterms:W3CDTF">2024-03-06T14:28:00Z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0x010100B090058A647E374AAD69188D7A68DF3E</vt:lpwstr>
  </property>
  <property fmtid="{D5CDD505-2E9C-101B-9397-08002B2CF9AE}" pid="3" name="_dlc_DocIdItemGuid">
    <vt:lpwstr>60304d5e-4378-4300-86ba-572a00e57e21</vt:lpwstr>
  </property>
  <property fmtid="{D5CDD505-2E9C-101B-9397-08002B2CF9AE}" pid="4" name="Order">
    <vt:r8>3000</vt:r8>
  </property>
  <property fmtid="{D5CDD505-2E9C-101B-9397-08002B2CF9AE}" pid="5" name="Policy Type">
    <vt:lpwstr>480;#Information Rights|87140fc8-87bd-4abf-bb00-5e0e1e793c16</vt:lpwstr>
  </property>
  <property fmtid="{D5CDD505-2E9C-101B-9397-08002B2CF9AE}" pid="6" name="MediaServiceImageTags">
    <vt:lpwstr/>
  </property>
</Properties>
</file>